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3C16A8" w14:textId="048FFE1B" w:rsidR="006D0E79" w:rsidRPr="0074590A" w:rsidRDefault="00CE01CF" w:rsidP="006D0E79">
      <w:pPr>
        <w:tabs>
          <w:tab w:val="left" w:pos="567"/>
        </w:tabs>
        <w:rPr>
          <w:rFonts w:cs="Arial"/>
          <w:b/>
          <w:sz w:val="24"/>
          <w:lang w:val="en-GB"/>
        </w:rPr>
      </w:pPr>
      <w:r>
        <w:rPr>
          <w:rFonts w:cs="Arial"/>
          <w:b/>
          <w:sz w:val="24"/>
          <w:lang w:val="en-GB"/>
        </w:rPr>
        <w:t xml:space="preserve">3GPP TSG RAN WG1 </w:t>
      </w:r>
      <w:r w:rsidR="003A2DB2">
        <w:rPr>
          <w:rFonts w:cs="Arial"/>
          <w:b/>
          <w:sz w:val="24"/>
          <w:lang w:val="en-GB"/>
        </w:rPr>
        <w:t xml:space="preserve">Meeting #97  </w:t>
      </w:r>
      <w:r w:rsidR="003A2DB2">
        <w:rPr>
          <w:rFonts w:cs="Arial"/>
          <w:b/>
          <w:sz w:val="24"/>
          <w:lang w:val="en-GB"/>
        </w:rPr>
        <w:tab/>
      </w:r>
      <w:r w:rsidR="002759D2">
        <w:rPr>
          <w:rFonts w:cs="Arial"/>
          <w:b/>
          <w:sz w:val="24"/>
          <w:lang w:val="en-GB"/>
        </w:rPr>
        <w:tab/>
      </w:r>
      <w:r w:rsidR="002759D2">
        <w:rPr>
          <w:rFonts w:cs="Arial"/>
          <w:b/>
          <w:sz w:val="24"/>
          <w:lang w:val="en-GB"/>
        </w:rPr>
        <w:tab/>
      </w:r>
      <w:r w:rsidR="006D0E79">
        <w:rPr>
          <w:rFonts w:cs="Arial"/>
          <w:b/>
          <w:sz w:val="24"/>
          <w:lang w:val="en-GB"/>
        </w:rPr>
        <w:t xml:space="preserve">                                                                 </w:t>
      </w:r>
      <w:r w:rsidR="006D0E79">
        <w:rPr>
          <w:rFonts w:cs="Arial"/>
          <w:b/>
          <w:sz w:val="24"/>
          <w:lang w:val="en-GB"/>
        </w:rPr>
        <w:tab/>
      </w:r>
      <w:r w:rsidR="00F5600A" w:rsidRPr="00F5600A">
        <w:rPr>
          <w:rFonts w:cs="Arial"/>
          <w:b/>
          <w:sz w:val="24"/>
          <w:lang w:val="en-GB"/>
        </w:rPr>
        <w:t>R1-19</w:t>
      </w:r>
      <w:r w:rsidR="00CD74AC">
        <w:rPr>
          <w:rFonts w:cs="Arial"/>
          <w:b/>
          <w:sz w:val="24"/>
          <w:lang w:val="en-GB"/>
        </w:rPr>
        <w:t>07121</w:t>
      </w:r>
    </w:p>
    <w:p w14:paraId="24C8009F" w14:textId="3B18AF0B" w:rsidR="00EA743A" w:rsidRPr="00EA743A" w:rsidRDefault="003A2DB2" w:rsidP="00EA743A">
      <w:pPr>
        <w:tabs>
          <w:tab w:val="left" w:pos="567"/>
        </w:tabs>
        <w:rPr>
          <w:rStyle w:val="apple-style-span"/>
          <w:rFonts w:cs="Arial"/>
          <w:b/>
          <w:sz w:val="16"/>
          <w:szCs w:val="16"/>
        </w:rPr>
      </w:pPr>
      <w:r>
        <w:rPr>
          <w:rFonts w:cs="Arial"/>
          <w:b/>
          <w:sz w:val="24"/>
          <w:lang w:val="en-GB"/>
        </w:rPr>
        <w:t>Reno, NV</w:t>
      </w:r>
      <w:r w:rsidR="0078042F">
        <w:rPr>
          <w:rFonts w:cs="Arial"/>
          <w:b/>
          <w:sz w:val="24"/>
          <w:lang w:val="en-GB"/>
        </w:rPr>
        <w:t xml:space="preserve">, </w:t>
      </w:r>
      <w:r>
        <w:rPr>
          <w:rFonts w:cs="Arial"/>
          <w:b/>
          <w:sz w:val="24"/>
          <w:lang w:val="en-GB"/>
        </w:rPr>
        <w:t>May</w:t>
      </w:r>
      <w:r w:rsidR="002759D2">
        <w:rPr>
          <w:rFonts w:cs="Arial"/>
          <w:b/>
          <w:sz w:val="24"/>
          <w:lang w:val="en-GB"/>
        </w:rPr>
        <w:t xml:space="preserve"> </w:t>
      </w:r>
      <w:r>
        <w:rPr>
          <w:rFonts w:cs="Arial"/>
          <w:b/>
          <w:sz w:val="24"/>
          <w:lang w:val="en-GB"/>
        </w:rPr>
        <w:t>13</w:t>
      </w:r>
      <w:r w:rsidR="0078042F" w:rsidRPr="0078042F">
        <w:rPr>
          <w:rFonts w:cs="Arial"/>
          <w:b/>
          <w:sz w:val="24"/>
          <w:vertAlign w:val="superscript"/>
          <w:lang w:val="en-GB"/>
        </w:rPr>
        <w:t>th</w:t>
      </w:r>
      <w:r w:rsidR="00637D76" w:rsidRPr="00637D76">
        <w:rPr>
          <w:rFonts w:cs="Arial"/>
          <w:b/>
          <w:sz w:val="24"/>
          <w:lang w:val="en-GB"/>
        </w:rPr>
        <w:t xml:space="preserve"> – </w:t>
      </w:r>
      <w:r w:rsidR="0078042F">
        <w:rPr>
          <w:rFonts w:cs="Arial"/>
          <w:b/>
          <w:sz w:val="24"/>
          <w:lang w:val="en-GB"/>
        </w:rPr>
        <w:t>1</w:t>
      </w:r>
      <w:r>
        <w:rPr>
          <w:rFonts w:cs="Arial"/>
          <w:b/>
          <w:sz w:val="24"/>
          <w:lang w:val="en-GB"/>
        </w:rPr>
        <w:t>7</w:t>
      </w:r>
      <w:r w:rsidR="0078042F" w:rsidRPr="0078042F">
        <w:rPr>
          <w:rFonts w:cs="Arial"/>
          <w:b/>
          <w:sz w:val="24"/>
          <w:vertAlign w:val="superscript"/>
          <w:lang w:val="en-GB"/>
        </w:rPr>
        <w:t>th</w:t>
      </w:r>
      <w:r w:rsidR="00637D76" w:rsidRPr="00637D76">
        <w:rPr>
          <w:rFonts w:cs="Arial"/>
          <w:b/>
          <w:sz w:val="24"/>
          <w:lang w:val="en-GB"/>
        </w:rPr>
        <w:t>, 2019</w:t>
      </w:r>
    </w:p>
    <w:p w14:paraId="27CC8F42" w14:textId="75E61175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6F3A2E">
        <w:rPr>
          <w:b/>
          <w:sz w:val="24"/>
          <w:szCs w:val="24"/>
        </w:rPr>
        <w:t>7</w:t>
      </w:r>
      <w:r w:rsidR="0047618F">
        <w:rPr>
          <w:b/>
          <w:sz w:val="24"/>
          <w:szCs w:val="24"/>
        </w:rPr>
        <w:t>.</w:t>
      </w:r>
      <w:r w:rsidR="00FD0831">
        <w:rPr>
          <w:b/>
          <w:sz w:val="24"/>
          <w:szCs w:val="24"/>
        </w:rPr>
        <w:t>2.2.</w:t>
      </w:r>
      <w:r w:rsidR="00080F03">
        <w:rPr>
          <w:b/>
          <w:sz w:val="24"/>
          <w:szCs w:val="24"/>
        </w:rPr>
        <w:t>2</w:t>
      </w:r>
      <w:r w:rsidR="00965321">
        <w:rPr>
          <w:b/>
          <w:sz w:val="24"/>
          <w:szCs w:val="24"/>
        </w:rPr>
        <w:t>.</w:t>
      </w:r>
      <w:r w:rsidR="00774275">
        <w:rPr>
          <w:b/>
          <w:sz w:val="24"/>
          <w:szCs w:val="24"/>
        </w:rPr>
        <w:t>5</w:t>
      </w:r>
    </w:p>
    <w:p w14:paraId="6DA092FE" w14:textId="52DE552F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B14861">
        <w:rPr>
          <w:b/>
          <w:sz w:val="24"/>
          <w:szCs w:val="24"/>
        </w:rPr>
        <w:t>Charter Communications</w:t>
      </w:r>
    </w:p>
    <w:p w14:paraId="44340712" w14:textId="4C927F0A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774275" w:rsidRPr="00774275">
        <w:rPr>
          <w:b/>
          <w:sz w:val="24"/>
          <w:szCs w:val="24"/>
        </w:rPr>
        <w:t>Wideband Operation for NR-U</w:t>
      </w:r>
    </w:p>
    <w:p w14:paraId="1B000D7D" w14:textId="77777777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6C1246FB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1439EB78" w14:textId="77777777" w:rsidR="00707D20" w:rsidRPr="00172743" w:rsidRDefault="00424124" w:rsidP="002D59EA">
      <w:pPr>
        <w:pStyle w:val="Heading1"/>
      </w:pPr>
      <w:r w:rsidRPr="00172743">
        <w:t>Introduction</w:t>
      </w:r>
    </w:p>
    <w:p w14:paraId="24675206" w14:textId="77CD6D4F" w:rsidR="00BC07D6" w:rsidRDefault="00017FFD" w:rsidP="0058113E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T</w:t>
      </w:r>
      <w:r w:rsidR="00CE01CF">
        <w:rPr>
          <w:rFonts w:ascii="Calibri" w:hAnsi="Calibri"/>
        </w:rPr>
        <w:t>he NR-U WI</w:t>
      </w:r>
      <w:r w:rsidR="0058113E">
        <w:rPr>
          <w:rFonts w:ascii="Calibri" w:hAnsi="Calibri"/>
        </w:rPr>
        <w:t xml:space="preserve"> </w:t>
      </w:r>
      <w:r w:rsidR="00B359FB">
        <w:rPr>
          <w:rFonts w:ascii="Calibri" w:hAnsi="Calibri"/>
        </w:rPr>
        <w:t>is in progress in RAN1</w:t>
      </w:r>
      <w:r w:rsidR="0058113E">
        <w:rPr>
          <w:rFonts w:ascii="Calibri" w:hAnsi="Calibri"/>
        </w:rPr>
        <w:t xml:space="preserve"> [1]</w:t>
      </w:r>
      <w:r w:rsidR="0047618F">
        <w:rPr>
          <w:rFonts w:ascii="Calibri" w:hAnsi="Calibri"/>
        </w:rPr>
        <w:t>.</w:t>
      </w:r>
      <w:r w:rsidR="00B359FB">
        <w:rPr>
          <w:rFonts w:ascii="Calibri" w:hAnsi="Calibri"/>
        </w:rPr>
        <w:t xml:space="preserve"> </w:t>
      </w:r>
      <w:r w:rsidR="00B16656">
        <w:rPr>
          <w:rFonts w:ascii="Calibri" w:hAnsi="Calibri"/>
        </w:rPr>
        <w:t xml:space="preserve">In </w:t>
      </w:r>
      <w:r>
        <w:rPr>
          <w:rFonts w:ascii="Calibri" w:hAnsi="Calibri"/>
        </w:rPr>
        <w:t xml:space="preserve">the </w:t>
      </w:r>
      <w:r w:rsidR="003A2DB2">
        <w:rPr>
          <w:rFonts w:ascii="Calibri" w:hAnsi="Calibri"/>
        </w:rPr>
        <w:t>R</w:t>
      </w:r>
      <w:r>
        <w:rPr>
          <w:rFonts w:ascii="Calibri" w:hAnsi="Calibri"/>
        </w:rPr>
        <w:t xml:space="preserve">AN1 </w:t>
      </w:r>
      <w:r w:rsidR="003A2DB2">
        <w:rPr>
          <w:rFonts w:ascii="Calibri" w:hAnsi="Calibri"/>
        </w:rPr>
        <w:t>#96BIS</w:t>
      </w:r>
      <w:r>
        <w:rPr>
          <w:rFonts w:ascii="Calibri" w:hAnsi="Calibri"/>
        </w:rPr>
        <w:t xml:space="preserve"> meeting, several agreements were reached on </w:t>
      </w:r>
      <w:r w:rsidR="00774275">
        <w:rPr>
          <w:rFonts w:ascii="Calibri" w:hAnsi="Calibri"/>
        </w:rPr>
        <w:t>wideband operation</w:t>
      </w:r>
      <w:r>
        <w:rPr>
          <w:rFonts w:ascii="Calibri" w:hAnsi="Calibri"/>
        </w:rPr>
        <w:t xml:space="preserve"> </w:t>
      </w:r>
      <w:r>
        <w:rPr>
          <w:rFonts w:ascii="Calibri" w:hAnsi="Calibri"/>
        </w:rPr>
        <w:fldChar w:fldCharType="begin"/>
      </w:r>
      <w:r>
        <w:rPr>
          <w:rFonts w:ascii="Calibri" w:hAnsi="Calibri"/>
        </w:rPr>
        <w:instrText xml:space="preserve"> REF _Ref878098 \r \h </w:instrText>
      </w:r>
      <w:r>
        <w:rPr>
          <w:rFonts w:ascii="Calibri" w:hAnsi="Calibri"/>
        </w:rPr>
      </w:r>
      <w:r>
        <w:rPr>
          <w:rFonts w:ascii="Calibri" w:hAnsi="Calibri"/>
        </w:rPr>
        <w:fldChar w:fldCharType="separate"/>
      </w:r>
      <w:r>
        <w:rPr>
          <w:rFonts w:ascii="Calibri" w:hAnsi="Calibri"/>
        </w:rPr>
        <w:t>[2]</w:t>
      </w:r>
      <w:r>
        <w:rPr>
          <w:rFonts w:ascii="Calibri" w:hAnsi="Calibri"/>
        </w:rPr>
        <w:fldChar w:fldCharType="end"/>
      </w:r>
      <w:r>
        <w:rPr>
          <w:rFonts w:ascii="Calibri" w:hAnsi="Calibri"/>
        </w:rPr>
        <w:t>:</w:t>
      </w:r>
    </w:p>
    <w:p w14:paraId="4D8109FE" w14:textId="77777777" w:rsidR="003A2DB2" w:rsidRPr="003A2DB2" w:rsidRDefault="003A2DB2" w:rsidP="003A2DB2">
      <w:pPr>
        <w:spacing w:before="0" w:after="0"/>
        <w:jc w:val="left"/>
        <w:rPr>
          <w:rFonts w:ascii="Times" w:eastAsia="Batang" w:hAnsi="Times"/>
          <w:szCs w:val="24"/>
          <w:lang w:val="en-GB" w:eastAsia="x-none"/>
        </w:rPr>
      </w:pPr>
      <w:r w:rsidRPr="003A2DB2">
        <w:rPr>
          <w:rFonts w:ascii="Times" w:eastAsia="Batang" w:hAnsi="Times"/>
          <w:szCs w:val="24"/>
          <w:highlight w:val="green"/>
          <w:lang w:val="en-GB" w:eastAsia="x-none"/>
        </w:rPr>
        <w:t>Agreement:</w:t>
      </w:r>
    </w:p>
    <w:p w14:paraId="6A692931" w14:textId="77777777" w:rsidR="003A2DB2" w:rsidRPr="003A2DB2" w:rsidRDefault="003A2DB2" w:rsidP="003A2DB2">
      <w:pPr>
        <w:spacing w:before="0" w:after="0"/>
        <w:jc w:val="left"/>
        <w:rPr>
          <w:rFonts w:ascii="Times" w:eastAsia="Batang" w:hAnsi="Times"/>
          <w:szCs w:val="24"/>
          <w:lang w:eastAsia="x-none"/>
        </w:rPr>
      </w:pPr>
      <w:r w:rsidRPr="003A2DB2">
        <w:rPr>
          <w:rFonts w:ascii="Times" w:eastAsia="Batang" w:hAnsi="Times"/>
          <w:szCs w:val="24"/>
          <w:lang w:eastAsia="x-none"/>
        </w:rPr>
        <w:t>For UL transmissions in a serving cell with carrier bandwidth greater than LBT bandwidth, for the case where UE performs CCA before UL transmission, support at least Alt. 1 among the following alternatives</w:t>
      </w:r>
    </w:p>
    <w:p w14:paraId="5F5E276C" w14:textId="77777777" w:rsidR="003A2DB2" w:rsidRPr="003A2DB2" w:rsidRDefault="003A2DB2" w:rsidP="003A2DB2">
      <w:pPr>
        <w:numPr>
          <w:ilvl w:val="0"/>
          <w:numId w:val="46"/>
        </w:numPr>
        <w:spacing w:before="0" w:after="0"/>
        <w:ind w:left="360"/>
        <w:jc w:val="left"/>
        <w:rPr>
          <w:rFonts w:ascii="Times" w:eastAsia="Batang" w:hAnsi="Times"/>
          <w:szCs w:val="24"/>
          <w:lang w:eastAsia="x-none"/>
        </w:rPr>
      </w:pPr>
      <w:r w:rsidRPr="003A2DB2">
        <w:rPr>
          <w:rFonts w:ascii="Times" w:eastAsia="Batang" w:hAnsi="Times"/>
          <w:szCs w:val="24"/>
          <w:lang w:val="en-GB" w:eastAsia="x-none"/>
        </w:rPr>
        <w:t>Alt. 1: UE transmits the PUSCH only if CCA is successful at UE in all LBT bandwidths of the scheduled PUSCH.</w:t>
      </w:r>
    </w:p>
    <w:p w14:paraId="3A1B4648" w14:textId="77777777" w:rsidR="003A2DB2" w:rsidRPr="003A2DB2" w:rsidRDefault="003A2DB2" w:rsidP="003A2DB2">
      <w:pPr>
        <w:numPr>
          <w:ilvl w:val="0"/>
          <w:numId w:val="45"/>
        </w:numPr>
        <w:spacing w:before="0" w:after="0"/>
        <w:ind w:left="360"/>
        <w:jc w:val="left"/>
        <w:rPr>
          <w:rFonts w:ascii="Times" w:eastAsia="Batang" w:hAnsi="Times"/>
          <w:szCs w:val="24"/>
          <w:lang w:eastAsia="x-none"/>
        </w:rPr>
      </w:pPr>
      <w:r w:rsidRPr="003A2DB2">
        <w:rPr>
          <w:rFonts w:ascii="Times" w:eastAsia="Batang" w:hAnsi="Times"/>
          <w:szCs w:val="24"/>
          <w:lang w:val="en-GB" w:eastAsia="x-none"/>
        </w:rPr>
        <w:t xml:space="preserve">Alt. 2: </w:t>
      </w:r>
      <w:r w:rsidRPr="003A2DB2">
        <w:rPr>
          <w:rFonts w:ascii="Times" w:eastAsia="Batang" w:hAnsi="Times" w:hint="eastAsia"/>
          <w:bCs/>
          <w:szCs w:val="24"/>
          <w:lang w:val="en-GB" w:eastAsia="x-none"/>
        </w:rPr>
        <w:t xml:space="preserve">UE transmits </w:t>
      </w:r>
      <w:r w:rsidRPr="003A2DB2">
        <w:rPr>
          <w:rFonts w:ascii="Times" w:eastAsia="Batang" w:hAnsi="Times"/>
          <w:bCs/>
          <w:szCs w:val="24"/>
          <w:lang w:val="en-GB" w:eastAsia="x-none"/>
        </w:rPr>
        <w:t xml:space="preserve">the PUSCH in all or a subset of LBT bandwidths of the scheduled PUSCH for which CCA is successful at the UE. </w:t>
      </w:r>
    </w:p>
    <w:p w14:paraId="43640F26" w14:textId="77777777" w:rsidR="003A2DB2" w:rsidRPr="003A2DB2" w:rsidRDefault="003A2DB2" w:rsidP="003A2DB2">
      <w:pPr>
        <w:numPr>
          <w:ilvl w:val="1"/>
          <w:numId w:val="45"/>
        </w:numPr>
        <w:spacing w:before="0" w:after="0"/>
        <w:ind w:left="1080"/>
        <w:jc w:val="left"/>
        <w:rPr>
          <w:rFonts w:ascii="Times" w:eastAsia="Batang" w:hAnsi="Times"/>
          <w:szCs w:val="24"/>
          <w:lang w:eastAsia="x-none"/>
        </w:rPr>
      </w:pPr>
      <w:r w:rsidRPr="003A2DB2">
        <w:rPr>
          <w:rFonts w:ascii="Times" w:eastAsia="Batang" w:hAnsi="Times"/>
          <w:szCs w:val="24"/>
          <w:lang w:eastAsia="x-none"/>
        </w:rPr>
        <w:t>Decision on whether this alternative is supported will depend on feedback from RAN4</w:t>
      </w:r>
    </w:p>
    <w:p w14:paraId="70A5FA38" w14:textId="77777777" w:rsidR="003A2DB2" w:rsidRPr="003A2DB2" w:rsidRDefault="003A2DB2" w:rsidP="003A2DB2">
      <w:pPr>
        <w:numPr>
          <w:ilvl w:val="1"/>
          <w:numId w:val="45"/>
        </w:numPr>
        <w:spacing w:before="0" w:after="0"/>
        <w:ind w:left="1080"/>
        <w:jc w:val="left"/>
        <w:rPr>
          <w:rFonts w:ascii="Times" w:eastAsia="Batang" w:hAnsi="Times"/>
          <w:szCs w:val="24"/>
          <w:lang w:eastAsia="x-none"/>
        </w:rPr>
      </w:pPr>
      <w:r w:rsidRPr="003A2DB2">
        <w:rPr>
          <w:rFonts w:ascii="Times" w:eastAsia="Batang" w:hAnsi="Times" w:hint="eastAsia"/>
          <w:bCs/>
          <w:szCs w:val="24"/>
          <w:lang w:eastAsia="x-none"/>
        </w:rPr>
        <w:t>F</w:t>
      </w:r>
      <w:r w:rsidRPr="003A2DB2">
        <w:rPr>
          <w:rFonts w:ascii="Times" w:eastAsia="Batang" w:hAnsi="Times"/>
          <w:bCs/>
          <w:szCs w:val="24"/>
          <w:lang w:eastAsia="x-none"/>
        </w:rPr>
        <w:t>FS on restrictions to the subset of LBT bandwidths, e.g., only contiguous LBT bandwidths allowed, based on feedback from RAN4</w:t>
      </w:r>
    </w:p>
    <w:p w14:paraId="2A7D393F" w14:textId="77777777" w:rsidR="003A2DB2" w:rsidRPr="003A2DB2" w:rsidRDefault="003A2DB2" w:rsidP="003A2DB2">
      <w:pPr>
        <w:numPr>
          <w:ilvl w:val="0"/>
          <w:numId w:val="47"/>
        </w:numPr>
        <w:spacing w:before="0" w:after="0"/>
        <w:jc w:val="left"/>
        <w:rPr>
          <w:rFonts w:ascii="Times" w:eastAsia="Batang" w:hAnsi="Times"/>
          <w:szCs w:val="24"/>
          <w:lang w:eastAsia="x-none"/>
        </w:rPr>
      </w:pPr>
      <w:r w:rsidRPr="003A2DB2">
        <w:rPr>
          <w:rFonts w:ascii="Times" w:eastAsia="Batang" w:hAnsi="Times"/>
          <w:szCs w:val="24"/>
          <w:lang w:eastAsia="x-none"/>
        </w:rPr>
        <w:t>Necessity of guard bands within the scheduled PUSCH should be determined by RAN4</w:t>
      </w:r>
    </w:p>
    <w:p w14:paraId="2109E5F4" w14:textId="77777777" w:rsidR="003A2DB2" w:rsidRPr="003A2DB2" w:rsidRDefault="003A2DB2" w:rsidP="003A2DB2">
      <w:pPr>
        <w:numPr>
          <w:ilvl w:val="0"/>
          <w:numId w:val="47"/>
        </w:numPr>
        <w:spacing w:before="0" w:after="0"/>
        <w:jc w:val="left"/>
        <w:rPr>
          <w:rFonts w:ascii="Times" w:eastAsia="Batang" w:hAnsi="Times"/>
          <w:szCs w:val="24"/>
          <w:lang w:eastAsia="x-none"/>
        </w:rPr>
      </w:pPr>
      <w:r w:rsidRPr="003A2DB2">
        <w:rPr>
          <w:rFonts w:ascii="Times" w:eastAsia="Batang" w:hAnsi="Times"/>
          <w:szCs w:val="24"/>
          <w:lang w:eastAsia="x-none"/>
        </w:rPr>
        <w:t>FFS: Whether this applies also to configured grant PUSCH</w:t>
      </w:r>
    </w:p>
    <w:p w14:paraId="13C780BC" w14:textId="77777777" w:rsidR="003A2DB2" w:rsidRPr="003A2DB2" w:rsidRDefault="003A2DB2" w:rsidP="003A2DB2">
      <w:pPr>
        <w:numPr>
          <w:ilvl w:val="0"/>
          <w:numId w:val="47"/>
        </w:numPr>
        <w:spacing w:before="0" w:after="0"/>
        <w:jc w:val="left"/>
        <w:rPr>
          <w:rFonts w:ascii="Times" w:eastAsia="Batang" w:hAnsi="Times"/>
          <w:szCs w:val="24"/>
          <w:lang w:eastAsia="x-none"/>
        </w:rPr>
      </w:pPr>
      <w:r w:rsidRPr="003A2DB2">
        <w:rPr>
          <w:rFonts w:ascii="Times" w:eastAsia="Batang" w:hAnsi="Times"/>
          <w:szCs w:val="24"/>
          <w:lang w:eastAsia="x-none"/>
        </w:rPr>
        <w:t>FFS: Whether this applies also to PUCCH</w:t>
      </w:r>
    </w:p>
    <w:p w14:paraId="67A25D86" w14:textId="77777777" w:rsidR="003A2DB2" w:rsidRPr="003A2DB2" w:rsidRDefault="003A2DB2" w:rsidP="003A2DB2">
      <w:pPr>
        <w:spacing w:before="0" w:after="0"/>
        <w:jc w:val="left"/>
        <w:rPr>
          <w:rFonts w:ascii="Times" w:eastAsia="Batang" w:hAnsi="Times"/>
          <w:szCs w:val="24"/>
          <w:lang w:eastAsia="x-none"/>
        </w:rPr>
      </w:pPr>
    </w:p>
    <w:p w14:paraId="17B2F622" w14:textId="77777777" w:rsidR="003A2DB2" w:rsidRPr="003A2DB2" w:rsidRDefault="003A2DB2" w:rsidP="003A2DB2">
      <w:pPr>
        <w:spacing w:before="0" w:after="0"/>
        <w:jc w:val="left"/>
        <w:rPr>
          <w:rFonts w:ascii="Times" w:eastAsia="Batang" w:hAnsi="Times"/>
          <w:szCs w:val="24"/>
          <w:lang w:eastAsia="x-none"/>
        </w:rPr>
      </w:pPr>
      <w:r w:rsidRPr="003A2DB2">
        <w:rPr>
          <w:rFonts w:ascii="Times" w:eastAsia="Batang" w:hAnsi="Times"/>
          <w:szCs w:val="24"/>
          <w:highlight w:val="green"/>
          <w:lang w:eastAsia="x-none"/>
        </w:rPr>
        <w:t>Agreement:</w:t>
      </w:r>
    </w:p>
    <w:p w14:paraId="47992B1A" w14:textId="77777777" w:rsidR="003A2DB2" w:rsidRPr="003A2DB2" w:rsidRDefault="003A2DB2" w:rsidP="003A2DB2">
      <w:pPr>
        <w:numPr>
          <w:ilvl w:val="0"/>
          <w:numId w:val="50"/>
        </w:numPr>
        <w:spacing w:before="0" w:after="0"/>
        <w:jc w:val="left"/>
        <w:rPr>
          <w:rFonts w:ascii="Times" w:eastAsia="Batang" w:hAnsi="Times"/>
          <w:szCs w:val="24"/>
          <w:lang w:val="en-GB" w:eastAsia="x-none"/>
        </w:rPr>
      </w:pPr>
      <w:r w:rsidRPr="003A2DB2">
        <w:rPr>
          <w:rFonts w:ascii="Times" w:eastAsia="Batang" w:hAnsi="Times"/>
          <w:szCs w:val="24"/>
          <w:lang w:val="en-GB" w:eastAsia="x-none"/>
        </w:rPr>
        <w:t>Support a mechanism for a UE to detect gNB is transmitting across</w:t>
      </w:r>
    </w:p>
    <w:p w14:paraId="5A17597D" w14:textId="77777777" w:rsidR="003A2DB2" w:rsidRPr="003A2DB2" w:rsidRDefault="003A2DB2" w:rsidP="003A2DB2">
      <w:pPr>
        <w:numPr>
          <w:ilvl w:val="0"/>
          <w:numId w:val="49"/>
        </w:numPr>
        <w:spacing w:before="0" w:after="0"/>
        <w:jc w:val="left"/>
        <w:rPr>
          <w:rFonts w:ascii="Times" w:eastAsia="Batang" w:hAnsi="Times"/>
          <w:szCs w:val="24"/>
          <w:lang w:eastAsia="x-none"/>
        </w:rPr>
      </w:pPr>
      <w:r w:rsidRPr="003A2DB2">
        <w:rPr>
          <w:rFonts w:ascii="Times" w:eastAsia="Batang" w:hAnsi="Times"/>
          <w:szCs w:val="24"/>
          <w:lang w:val="en-GB" w:eastAsia="x-none"/>
        </w:rPr>
        <w:t xml:space="preserve">Multiple carriers </w:t>
      </w:r>
    </w:p>
    <w:p w14:paraId="4CD0F078" w14:textId="77777777" w:rsidR="003A2DB2" w:rsidRPr="003A2DB2" w:rsidRDefault="003A2DB2" w:rsidP="003A2DB2">
      <w:pPr>
        <w:numPr>
          <w:ilvl w:val="0"/>
          <w:numId w:val="49"/>
        </w:numPr>
        <w:spacing w:before="0" w:after="0"/>
        <w:jc w:val="left"/>
        <w:rPr>
          <w:rFonts w:ascii="Times" w:eastAsia="Batang" w:hAnsi="Times"/>
          <w:szCs w:val="24"/>
          <w:lang w:eastAsia="x-none"/>
        </w:rPr>
      </w:pPr>
      <w:r w:rsidRPr="003A2DB2">
        <w:rPr>
          <w:rFonts w:ascii="Times" w:eastAsia="Batang" w:hAnsi="Times"/>
          <w:szCs w:val="24"/>
          <w:lang w:val="en-GB" w:eastAsia="x-none"/>
        </w:rPr>
        <w:t xml:space="preserve">Multiple LBT bandwidths in a carrier. </w:t>
      </w:r>
    </w:p>
    <w:p w14:paraId="06A60031" w14:textId="77777777" w:rsidR="003A2DB2" w:rsidRPr="003A2DB2" w:rsidRDefault="003A2DB2" w:rsidP="003A2DB2">
      <w:pPr>
        <w:numPr>
          <w:ilvl w:val="0"/>
          <w:numId w:val="50"/>
        </w:numPr>
        <w:spacing w:before="0" w:after="0"/>
        <w:jc w:val="left"/>
        <w:rPr>
          <w:rFonts w:ascii="Times" w:eastAsia="Batang" w:hAnsi="Times"/>
          <w:szCs w:val="24"/>
          <w:lang w:val="en-GB" w:eastAsia="x-none"/>
        </w:rPr>
      </w:pPr>
      <w:r w:rsidRPr="003A2DB2">
        <w:rPr>
          <w:rFonts w:ascii="Times" w:eastAsia="Batang" w:hAnsi="Times"/>
          <w:szCs w:val="24"/>
          <w:lang w:val="en-GB" w:eastAsia="x-none"/>
        </w:rPr>
        <w:t>The following mechanisms are to be considered:</w:t>
      </w:r>
    </w:p>
    <w:p w14:paraId="29620E0D" w14:textId="77777777" w:rsidR="003A2DB2" w:rsidRPr="003A2DB2" w:rsidRDefault="003A2DB2" w:rsidP="003A2DB2">
      <w:pPr>
        <w:numPr>
          <w:ilvl w:val="0"/>
          <w:numId w:val="48"/>
        </w:numPr>
        <w:spacing w:before="0" w:after="0"/>
        <w:jc w:val="left"/>
        <w:rPr>
          <w:rFonts w:ascii="Times" w:eastAsia="Batang" w:hAnsi="Times"/>
          <w:szCs w:val="24"/>
          <w:lang w:eastAsia="x-none"/>
        </w:rPr>
      </w:pPr>
      <w:r w:rsidRPr="003A2DB2">
        <w:rPr>
          <w:rFonts w:ascii="Times" w:eastAsia="Batang" w:hAnsi="Times"/>
          <w:szCs w:val="24"/>
          <w:lang w:val="en-GB" w:eastAsia="x-none"/>
        </w:rPr>
        <w:t>Option 1: Explicit indication via PDCCH</w:t>
      </w:r>
    </w:p>
    <w:p w14:paraId="31C1CFAE" w14:textId="77777777" w:rsidR="003A2DB2" w:rsidRPr="003A2DB2" w:rsidRDefault="003A2DB2" w:rsidP="003A2DB2">
      <w:pPr>
        <w:numPr>
          <w:ilvl w:val="1"/>
          <w:numId w:val="48"/>
        </w:numPr>
        <w:spacing w:before="0" w:after="0"/>
        <w:jc w:val="left"/>
        <w:rPr>
          <w:rFonts w:ascii="Times" w:eastAsia="Batang" w:hAnsi="Times"/>
          <w:szCs w:val="24"/>
          <w:lang w:eastAsia="x-none"/>
        </w:rPr>
      </w:pPr>
      <w:r w:rsidRPr="003A2DB2">
        <w:rPr>
          <w:rFonts w:ascii="Times" w:eastAsia="Batang" w:hAnsi="Times"/>
          <w:szCs w:val="24"/>
          <w:lang w:val="en-GB" w:eastAsia="x-none"/>
        </w:rPr>
        <w:t>FFS: The type of PDCCH (e.g., group common PDCCH or UE-specific PDCCH)</w:t>
      </w:r>
    </w:p>
    <w:p w14:paraId="73492092" w14:textId="77777777" w:rsidR="003A2DB2" w:rsidRPr="003A2DB2" w:rsidRDefault="003A2DB2" w:rsidP="003A2DB2">
      <w:pPr>
        <w:numPr>
          <w:ilvl w:val="1"/>
          <w:numId w:val="48"/>
        </w:numPr>
        <w:spacing w:before="0" w:after="0"/>
        <w:jc w:val="left"/>
        <w:rPr>
          <w:rFonts w:ascii="Times" w:eastAsia="Batang" w:hAnsi="Times"/>
          <w:szCs w:val="24"/>
          <w:lang w:eastAsia="x-none"/>
        </w:rPr>
      </w:pPr>
      <w:r w:rsidRPr="003A2DB2">
        <w:rPr>
          <w:rFonts w:ascii="Times" w:eastAsia="Batang" w:hAnsi="Times"/>
          <w:szCs w:val="24"/>
          <w:lang w:val="en-GB" w:eastAsia="x-none"/>
        </w:rPr>
        <w:t>FFS: Signaling details of the indication</w:t>
      </w:r>
    </w:p>
    <w:p w14:paraId="5773837D" w14:textId="77777777" w:rsidR="003A2DB2" w:rsidRPr="003A2DB2" w:rsidRDefault="003A2DB2" w:rsidP="003A2DB2">
      <w:pPr>
        <w:numPr>
          <w:ilvl w:val="0"/>
          <w:numId w:val="48"/>
        </w:numPr>
        <w:spacing w:before="0" w:after="0"/>
        <w:jc w:val="left"/>
        <w:rPr>
          <w:rFonts w:ascii="Times" w:eastAsia="Batang" w:hAnsi="Times"/>
          <w:szCs w:val="24"/>
          <w:lang w:val="en-GB" w:eastAsia="x-none"/>
        </w:rPr>
      </w:pPr>
      <w:r w:rsidRPr="003A2DB2">
        <w:rPr>
          <w:rFonts w:ascii="Times" w:eastAsia="Batang" w:hAnsi="Times"/>
          <w:szCs w:val="24"/>
          <w:lang w:val="en-GB" w:eastAsia="x-none"/>
        </w:rPr>
        <w:t>Option 2: Explicit indication via selection of a PDCCH DM-RS sequence from a set of PDCCH DM-RS sequences</w:t>
      </w:r>
    </w:p>
    <w:p w14:paraId="05883565" w14:textId="77777777" w:rsidR="003A2DB2" w:rsidRPr="003A2DB2" w:rsidRDefault="003A2DB2" w:rsidP="003A2DB2">
      <w:pPr>
        <w:numPr>
          <w:ilvl w:val="1"/>
          <w:numId w:val="48"/>
        </w:numPr>
        <w:spacing w:before="0" w:after="0"/>
        <w:jc w:val="left"/>
        <w:rPr>
          <w:rFonts w:ascii="Times" w:eastAsia="Batang" w:hAnsi="Times"/>
          <w:szCs w:val="24"/>
          <w:lang w:val="en-GB" w:eastAsia="x-none"/>
        </w:rPr>
      </w:pPr>
      <w:r w:rsidRPr="003A2DB2">
        <w:rPr>
          <w:rFonts w:ascii="Times" w:eastAsia="Batang" w:hAnsi="Times"/>
          <w:szCs w:val="24"/>
          <w:lang w:val="en-GB" w:eastAsia="x-none"/>
        </w:rPr>
        <w:t>FFS: Details of the indication</w:t>
      </w:r>
    </w:p>
    <w:p w14:paraId="55751525" w14:textId="77777777" w:rsidR="003A2DB2" w:rsidRPr="003A2DB2" w:rsidRDefault="003A2DB2" w:rsidP="003A2DB2">
      <w:pPr>
        <w:numPr>
          <w:ilvl w:val="0"/>
          <w:numId w:val="48"/>
        </w:numPr>
        <w:spacing w:before="0" w:after="0"/>
        <w:jc w:val="left"/>
        <w:rPr>
          <w:rFonts w:ascii="Times" w:eastAsia="Batang" w:hAnsi="Times"/>
          <w:szCs w:val="24"/>
          <w:lang w:val="en-GB" w:eastAsia="x-none"/>
        </w:rPr>
      </w:pPr>
      <w:r w:rsidRPr="003A2DB2">
        <w:rPr>
          <w:rFonts w:ascii="Times" w:eastAsia="Batang" w:hAnsi="Times"/>
          <w:szCs w:val="24"/>
          <w:lang w:val="en-GB" w:eastAsia="x-none"/>
        </w:rPr>
        <w:t>Option 3: Via UE implementation, i.e., implicit method based on NR-based signal such as DM-RS and/or corresponding PDCCH detection</w:t>
      </w:r>
    </w:p>
    <w:p w14:paraId="07B901CA" w14:textId="77777777" w:rsidR="003A2DB2" w:rsidRPr="003A2DB2" w:rsidRDefault="003A2DB2" w:rsidP="003A2DB2">
      <w:pPr>
        <w:numPr>
          <w:ilvl w:val="1"/>
          <w:numId w:val="48"/>
        </w:numPr>
        <w:spacing w:before="0" w:after="0"/>
        <w:jc w:val="left"/>
        <w:rPr>
          <w:rFonts w:ascii="Times" w:eastAsia="Batang" w:hAnsi="Times"/>
          <w:szCs w:val="24"/>
          <w:lang w:val="en-GB" w:eastAsia="x-none"/>
        </w:rPr>
      </w:pPr>
      <w:r w:rsidRPr="003A2DB2">
        <w:rPr>
          <w:rFonts w:ascii="Times" w:eastAsia="Batang" w:hAnsi="Times"/>
          <w:szCs w:val="24"/>
          <w:lang w:val="en-GB" w:eastAsia="x-none"/>
        </w:rPr>
        <w:t>FFS: Which signals/channels or combination of signals/channels could be used by the UE</w:t>
      </w:r>
    </w:p>
    <w:p w14:paraId="5F865196" w14:textId="77777777" w:rsidR="003A2DB2" w:rsidRPr="003A2DB2" w:rsidRDefault="003A2DB2" w:rsidP="003A2DB2">
      <w:pPr>
        <w:numPr>
          <w:ilvl w:val="0"/>
          <w:numId w:val="48"/>
        </w:numPr>
        <w:spacing w:before="0" w:after="0"/>
        <w:jc w:val="left"/>
        <w:rPr>
          <w:rFonts w:ascii="Times" w:eastAsia="Batang" w:hAnsi="Times"/>
          <w:szCs w:val="24"/>
          <w:lang w:val="en-GB" w:eastAsia="x-none"/>
        </w:rPr>
      </w:pPr>
      <w:r w:rsidRPr="003A2DB2">
        <w:rPr>
          <w:rFonts w:ascii="Times" w:eastAsia="Batang" w:hAnsi="Times"/>
          <w:szCs w:val="24"/>
          <w:lang w:val="en-GB" w:eastAsia="x-none"/>
        </w:rPr>
        <w:t>Note: Above options are not mutually exclusive</w:t>
      </w:r>
    </w:p>
    <w:p w14:paraId="7002AAA4" w14:textId="77777777" w:rsidR="00017FFD" w:rsidRDefault="00017FFD" w:rsidP="0058113E">
      <w:pPr>
        <w:pStyle w:val="maintext"/>
        <w:ind w:firstLineChars="0" w:firstLine="0"/>
        <w:rPr>
          <w:rFonts w:ascii="Calibri" w:hAnsi="Calibri"/>
        </w:rPr>
      </w:pPr>
    </w:p>
    <w:p w14:paraId="5C44AC42" w14:textId="66BE84EC" w:rsidR="00F33B94" w:rsidRDefault="00017FFD" w:rsidP="004D58F6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This contribution discusses open issues as captured</w:t>
      </w:r>
      <w:r w:rsidR="003A2DB2">
        <w:rPr>
          <w:rFonts w:ascii="Calibri" w:hAnsi="Calibri"/>
        </w:rPr>
        <w:t xml:space="preserve"> above and</w:t>
      </w:r>
      <w:r>
        <w:rPr>
          <w:rFonts w:ascii="Calibri" w:hAnsi="Calibri"/>
        </w:rPr>
        <w:t xml:space="preserve"> in </w:t>
      </w:r>
      <w:r>
        <w:rPr>
          <w:rFonts w:ascii="Calibri" w:hAnsi="Calibri"/>
        </w:rPr>
        <w:fldChar w:fldCharType="begin"/>
      </w:r>
      <w:r>
        <w:rPr>
          <w:rFonts w:ascii="Calibri" w:hAnsi="Calibri"/>
        </w:rPr>
        <w:instrText xml:space="preserve"> REF _Ref878141 \r \h </w:instrText>
      </w:r>
      <w:r>
        <w:rPr>
          <w:rFonts w:ascii="Calibri" w:hAnsi="Calibri"/>
        </w:rPr>
      </w:r>
      <w:r>
        <w:rPr>
          <w:rFonts w:ascii="Calibri" w:hAnsi="Calibri"/>
        </w:rPr>
        <w:fldChar w:fldCharType="separate"/>
      </w:r>
      <w:r w:rsidR="002E6B75">
        <w:rPr>
          <w:rFonts w:ascii="Calibri" w:hAnsi="Calibri"/>
        </w:rPr>
        <w:t>[3</w:t>
      </w:r>
      <w:r>
        <w:rPr>
          <w:rFonts w:ascii="Calibri" w:hAnsi="Calibri"/>
        </w:rPr>
        <w:t>]</w:t>
      </w:r>
      <w:r>
        <w:rPr>
          <w:rFonts w:ascii="Calibri" w:hAnsi="Calibri"/>
        </w:rPr>
        <w:fldChar w:fldCharType="end"/>
      </w:r>
      <w:r>
        <w:rPr>
          <w:rFonts w:ascii="Calibri" w:hAnsi="Calibri"/>
        </w:rPr>
        <w:t>.</w:t>
      </w:r>
      <w:r w:rsidR="002E6B75">
        <w:rPr>
          <w:rFonts w:ascii="Calibri" w:hAnsi="Calibri"/>
        </w:rPr>
        <w:t xml:space="preserve"> A companion contribution on emission masks for wideband operation with Mode 2 and Mode 3 operation has been submitted to RAN4 </w:t>
      </w:r>
      <w:r w:rsidR="002E6B75">
        <w:rPr>
          <w:rFonts w:ascii="Calibri" w:hAnsi="Calibri"/>
        </w:rPr>
        <w:fldChar w:fldCharType="begin"/>
      </w:r>
      <w:r w:rsidR="002E6B75">
        <w:rPr>
          <w:rFonts w:ascii="Calibri" w:hAnsi="Calibri"/>
        </w:rPr>
        <w:instrText xml:space="preserve"> REF _Ref7801352 \r \h </w:instrText>
      </w:r>
      <w:r w:rsidR="002E6B75">
        <w:rPr>
          <w:rFonts w:ascii="Calibri" w:hAnsi="Calibri"/>
        </w:rPr>
      </w:r>
      <w:r w:rsidR="002E6B75">
        <w:rPr>
          <w:rFonts w:ascii="Calibri" w:hAnsi="Calibri"/>
        </w:rPr>
        <w:fldChar w:fldCharType="separate"/>
      </w:r>
      <w:r w:rsidR="002E6B75">
        <w:rPr>
          <w:rFonts w:ascii="Calibri" w:hAnsi="Calibri"/>
        </w:rPr>
        <w:t>[4]</w:t>
      </w:r>
      <w:r w:rsidR="002E6B75">
        <w:rPr>
          <w:rFonts w:ascii="Calibri" w:hAnsi="Calibri"/>
        </w:rPr>
        <w:fldChar w:fldCharType="end"/>
      </w:r>
      <w:r w:rsidR="002E6B75">
        <w:rPr>
          <w:rFonts w:ascii="Calibri" w:hAnsi="Calibri"/>
        </w:rPr>
        <w:t>.</w:t>
      </w:r>
    </w:p>
    <w:p w14:paraId="7E833F0D" w14:textId="45E57555" w:rsidR="00B94AAD" w:rsidRDefault="00E251EC" w:rsidP="00257F9A">
      <w:pPr>
        <w:pStyle w:val="Heading1"/>
      </w:pPr>
      <w:r>
        <w:t xml:space="preserve">NR-U </w:t>
      </w:r>
      <w:r w:rsidR="00C60BA7">
        <w:t>Wideband Operation</w:t>
      </w:r>
    </w:p>
    <w:p w14:paraId="754B61CC" w14:textId="77777777" w:rsidR="00B5169C" w:rsidRDefault="00B5169C" w:rsidP="00A921DD">
      <w:pPr>
        <w:rPr>
          <w:b/>
        </w:rPr>
      </w:pPr>
    </w:p>
    <w:p w14:paraId="02DDAF7C" w14:textId="078D8944" w:rsidR="00F5600A" w:rsidRDefault="00CD74AC" w:rsidP="00A03AAC">
      <w:pPr>
        <w:pStyle w:val="Heading2"/>
      </w:pPr>
      <w:r>
        <w:t>Detection of gNB occupancy</w:t>
      </w:r>
    </w:p>
    <w:p w14:paraId="24EA8685" w14:textId="77777777" w:rsidR="004627B4" w:rsidRDefault="00F5600A" w:rsidP="00F5600A">
      <w:r>
        <w:t>One of the key questions for wideband operation is w</w:t>
      </w:r>
      <w:r w:rsidRPr="00F5600A">
        <w:t>hether/how to indicate gNB’s transmitted LBT sub-bands</w:t>
      </w:r>
      <w:r>
        <w:t xml:space="preserve">. We consider this issue to be similar to DL multicarrier operation in LTE-LAA, where LBT may not succeed on one or more of the SCells. </w:t>
      </w:r>
      <w:r>
        <w:lastRenderedPageBreak/>
        <w:t xml:space="preserve">However, no explicit indication of the multicarrier LBT outcome is provided in LTE-LAA, and DL subframe detection is generally performed via CRS. Furthermore, LAA C-PDCCH does not carry frequency-domain COT information. </w:t>
      </w:r>
    </w:p>
    <w:p w14:paraId="0DA1D9A7" w14:textId="3A2CB6FE" w:rsidR="00F5600A" w:rsidRDefault="00F5600A" w:rsidP="00F5600A">
      <w:r>
        <w:t xml:space="preserve">Carrying over the same principle to NR-U, it is sufficient for the UE to determine the LBT sub-band occupancy in an implicit manner based on DM-RS detection, where the DM-RS can potentially be wideband. This avoids the need to duplicate GC-PDCCH with the same payload on every occupied LBT sub-band. </w:t>
      </w:r>
      <w:r w:rsidR="004627B4">
        <w:t xml:space="preserve">In the case of Type B multicarrier access, the GC-PDCCH can be transmitted only on the LBT sub-band that passed Cat-4 LBT. </w:t>
      </w:r>
      <w:r>
        <w:t>The COT information in GC-PDCCH may also include frequency-domain information of the COT, however, it is not mandated for the UE to detect GC-PDCCH to determine the occupied LBT sub-bands.</w:t>
      </w:r>
      <w:r w:rsidR="004627B4">
        <w:t xml:space="preserve"> </w:t>
      </w:r>
    </w:p>
    <w:p w14:paraId="6074F9F3" w14:textId="6276B5D5" w:rsidR="001F6D27" w:rsidRDefault="001F6D27" w:rsidP="00F5600A">
      <w:r>
        <w:t xml:space="preserve">In Option 2, selection of a DMRS sequence is used to explicitly indicate sub-band occupancy. Therefore, for a 100 MHz wideband carrier in 5 GHz, there are 31 total combinations of occupied sub-bands, assuming Mode 3 operation is considered feasible. To indicate each combination would therefore require a set of 31 PDCCH DMRS sequences. Currently, PDCCH DMRS sequence generator in symbol </w:t>
      </w:r>
      <w:r w:rsidRPr="001F6D27">
        <w:rPr>
          <w:i/>
        </w:rPr>
        <w:t>l</w:t>
      </w:r>
      <w:r>
        <w:t xml:space="preserve"> is initialized as follows:</w:t>
      </w:r>
    </w:p>
    <w:p w14:paraId="4051BDC7" w14:textId="2BFE9D72" w:rsidR="001F6D27" w:rsidRPr="001F6D27" w:rsidRDefault="001F6D27" w:rsidP="00F5600A"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nor/>
                </m:rPr>
                <m:t>init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17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m:t>slot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s,f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ID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2N</m:t>
                  </m:r>
                </m:e>
                <m:sub>
                  <m:r>
                    <m:rPr>
                      <m:nor/>
                    </m:rPr>
                    <m:t>ID</m:t>
                  </m:r>
                </m:sub>
              </m:sSub>
            </m:e>
          </m:d>
          <m:r>
            <m:rPr>
              <m:nor/>
            </m:rPr>
            <m:t>mod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31</m:t>
              </m:r>
            </m:sup>
          </m:sSup>
        </m:oMath>
      </m:oMathPara>
    </w:p>
    <w:p w14:paraId="61EAED16" w14:textId="60B733CD" w:rsidR="001F6D27" w:rsidRDefault="001F6D27" w:rsidP="00F5600A">
      <w:r>
        <w:t xml:space="preserve">It has been proposed to remove the slot number dependency for NR-U </w:t>
      </w:r>
      <w:r w:rsidR="009E4614">
        <w:t xml:space="preserve">DL </w:t>
      </w:r>
      <w:r>
        <w:t>DMRS</w:t>
      </w:r>
      <w:r w:rsidR="009E4614">
        <w:t xml:space="preserve"> to avoid L1 reprocessing due to LBT failure</w:t>
      </w:r>
      <w:r>
        <w:t xml:space="preserve">. Therefore, it is not clear how to generate such a large set of DMRS sequences that can also be </w:t>
      </w:r>
      <w:r w:rsidR="009E4614">
        <w:t>detected efficiently.</w:t>
      </w:r>
    </w:p>
    <w:p w14:paraId="75E66C75" w14:textId="079276F3" w:rsidR="00F5600A" w:rsidRPr="00F5600A" w:rsidRDefault="00F5600A" w:rsidP="00F5600A">
      <w:pPr>
        <w:rPr>
          <w:b/>
        </w:rPr>
      </w:pPr>
      <w:r w:rsidRPr="00F5600A">
        <w:rPr>
          <w:b/>
        </w:rPr>
        <w:t xml:space="preserve">Proposal 1: </w:t>
      </w:r>
      <w:r w:rsidR="002E6B75">
        <w:rPr>
          <w:b/>
        </w:rPr>
        <w:t>Support Option 3 for detection of gNB LBT sub-band occupancy, i.e., v</w:t>
      </w:r>
      <w:r w:rsidR="002E6B75" w:rsidRPr="002E6B75">
        <w:rPr>
          <w:b/>
        </w:rPr>
        <w:t>ia UE implementation, i.e., implicit method based on NR-based signal such as DM-RS and/or corresponding PDCCH detection</w:t>
      </w:r>
      <w:r w:rsidRPr="00F5600A">
        <w:rPr>
          <w:b/>
        </w:rPr>
        <w:t>.</w:t>
      </w:r>
    </w:p>
    <w:p w14:paraId="488F1306" w14:textId="77777777" w:rsidR="00672B47" w:rsidRDefault="00672B47" w:rsidP="00672B47"/>
    <w:p w14:paraId="03C89303" w14:textId="13AE4948" w:rsidR="00D45F7B" w:rsidRDefault="00D45F7B" w:rsidP="00D45F7B">
      <w:pPr>
        <w:pStyle w:val="Heading2"/>
      </w:pPr>
      <w:r>
        <w:t>PDCCH/CORESET</w:t>
      </w:r>
    </w:p>
    <w:p w14:paraId="1C2FAC5C" w14:textId="5DF5D21F" w:rsidR="0019008C" w:rsidRDefault="0019008C" w:rsidP="0019008C">
      <w:r>
        <w:t xml:space="preserve">Finally, consider the impact of wideband operation with discontiguous LBT sub-bands on PDCCH/CORESET design. The simplest design would be for each sub-band to be self-contained in terms of CORESET and PDCCH candidates, thereby avoiding the need for dynamic changes in control resources based on LBT outcome. </w:t>
      </w:r>
      <w:r w:rsidR="009E4614">
        <w:t>However, this implies that the number of CORESETs scales with the number of sub-bands, and UEs do not have a-priori information on CORESET presence at the start of a COT. Therefore, it is advisable to reuse the existing CORESET configuration as far as possible.</w:t>
      </w:r>
    </w:p>
    <w:p w14:paraId="376B5C13" w14:textId="4E0A405E" w:rsidR="0019008C" w:rsidRPr="0019008C" w:rsidRDefault="0019008C" w:rsidP="0019008C">
      <w:pPr>
        <w:rPr>
          <w:b/>
        </w:rPr>
      </w:pPr>
      <w:r w:rsidRPr="0019008C">
        <w:rPr>
          <w:b/>
        </w:rPr>
        <w:t xml:space="preserve">Proposal </w:t>
      </w:r>
      <w:r w:rsidR="009E4614">
        <w:rPr>
          <w:b/>
        </w:rPr>
        <w:t>2</w:t>
      </w:r>
      <w:bookmarkStart w:id="2" w:name="_GoBack"/>
      <w:bookmarkEnd w:id="2"/>
      <w:r w:rsidRPr="0019008C">
        <w:rPr>
          <w:b/>
        </w:rPr>
        <w:t xml:space="preserve">: </w:t>
      </w:r>
      <w:r w:rsidR="009E4614">
        <w:rPr>
          <w:b/>
        </w:rPr>
        <w:t>Reuse existing multi-cluster CORESET configuration with potential enhancements to account for any</w:t>
      </w:r>
      <w:r w:rsidR="009E4614" w:rsidRPr="009E4614">
        <w:rPr>
          <w:b/>
        </w:rPr>
        <w:t xml:space="preserve"> guard-bands at the edge of each LBT bandwidth</w:t>
      </w:r>
      <w:r w:rsidR="009E4614">
        <w:rPr>
          <w:b/>
        </w:rPr>
        <w:t>.</w:t>
      </w:r>
      <w:r w:rsidRPr="0019008C">
        <w:rPr>
          <w:b/>
        </w:rPr>
        <w:t xml:space="preserve"> </w:t>
      </w:r>
    </w:p>
    <w:p w14:paraId="2A07AEC5" w14:textId="77777777" w:rsidR="00D45F7B" w:rsidRPr="00A22957" w:rsidRDefault="00D45F7B" w:rsidP="00CE01CF">
      <w:pPr>
        <w:rPr>
          <w:b/>
        </w:rPr>
      </w:pPr>
    </w:p>
    <w:p w14:paraId="1F78EFE1" w14:textId="04B89D57" w:rsidR="003705DD" w:rsidRDefault="003705DD" w:rsidP="00AA62E3">
      <w:pPr>
        <w:pStyle w:val="Heading1"/>
      </w:pPr>
      <w:r>
        <w:t>Summary</w:t>
      </w:r>
    </w:p>
    <w:p w14:paraId="4293B9F9" w14:textId="224F303E" w:rsidR="0053586B" w:rsidRDefault="003705DD" w:rsidP="0053586B">
      <w:r>
        <w:t>In this</w:t>
      </w:r>
      <w:r w:rsidR="00575CB3">
        <w:t xml:space="preserve"> contribution</w:t>
      </w:r>
      <w:r w:rsidR="00877963">
        <w:t xml:space="preserve"> we examined</w:t>
      </w:r>
      <w:r w:rsidR="0067178A">
        <w:t xml:space="preserve"> </w:t>
      </w:r>
      <w:r w:rsidR="00B6030F">
        <w:t>wideband operation</w:t>
      </w:r>
      <w:r w:rsidR="00EE5745">
        <w:t xml:space="preserve"> for NR-U</w:t>
      </w:r>
      <w:r w:rsidR="00575CB3">
        <w:t>. The following proposals ensued.</w:t>
      </w:r>
    </w:p>
    <w:p w14:paraId="7CDE133F" w14:textId="77777777" w:rsidR="009E4614" w:rsidRPr="00F5600A" w:rsidRDefault="009E4614" w:rsidP="009E4614">
      <w:pPr>
        <w:rPr>
          <w:b/>
        </w:rPr>
      </w:pPr>
      <w:r w:rsidRPr="00F5600A">
        <w:rPr>
          <w:b/>
        </w:rPr>
        <w:t xml:space="preserve">Proposal 1: </w:t>
      </w:r>
      <w:r>
        <w:rPr>
          <w:b/>
        </w:rPr>
        <w:t>Support Option 3 for detection of gNB LBT sub-band occupancy, i.e., v</w:t>
      </w:r>
      <w:r w:rsidRPr="002E6B75">
        <w:rPr>
          <w:b/>
        </w:rPr>
        <w:t>ia UE implementation, i.e., implicit method based on NR-based signal such as DM-RS and/or corresponding PDCCH detection</w:t>
      </w:r>
      <w:r w:rsidRPr="00F5600A">
        <w:rPr>
          <w:b/>
        </w:rPr>
        <w:t>.</w:t>
      </w:r>
    </w:p>
    <w:p w14:paraId="72A07941" w14:textId="387A968F" w:rsidR="009E4614" w:rsidRPr="0019008C" w:rsidRDefault="009E4614" w:rsidP="009E4614">
      <w:pPr>
        <w:rPr>
          <w:b/>
        </w:rPr>
      </w:pPr>
      <w:r>
        <w:rPr>
          <w:b/>
        </w:rPr>
        <w:t>Proposal 2</w:t>
      </w:r>
      <w:r w:rsidRPr="0019008C">
        <w:rPr>
          <w:b/>
        </w:rPr>
        <w:t xml:space="preserve">: </w:t>
      </w:r>
      <w:r>
        <w:rPr>
          <w:b/>
        </w:rPr>
        <w:t>Reuse existing multi-cluster CORESET configuration with potential enhancements to account for any</w:t>
      </w:r>
      <w:r w:rsidRPr="009E4614">
        <w:rPr>
          <w:b/>
        </w:rPr>
        <w:t xml:space="preserve"> guard-bands at the edge of each LBT bandwidth</w:t>
      </w:r>
      <w:r>
        <w:rPr>
          <w:b/>
        </w:rPr>
        <w:t>.</w:t>
      </w:r>
      <w:r w:rsidRPr="0019008C">
        <w:rPr>
          <w:b/>
        </w:rPr>
        <w:t xml:space="preserve"> </w:t>
      </w:r>
    </w:p>
    <w:p w14:paraId="08D402D3" w14:textId="77777777" w:rsidR="00877963" w:rsidRDefault="00877963" w:rsidP="0053586B">
      <w:pPr>
        <w:rPr>
          <w:b/>
        </w:rPr>
      </w:pPr>
    </w:p>
    <w:p w14:paraId="6B17445A" w14:textId="1E4EA44E" w:rsidR="00257F9A" w:rsidRDefault="00F67C2E" w:rsidP="00F67C2E">
      <w:pPr>
        <w:pStyle w:val="Heading1"/>
      </w:pPr>
      <w:r>
        <w:t>Reference</w:t>
      </w:r>
      <w:r w:rsidR="00017FFD">
        <w:t>s</w:t>
      </w:r>
    </w:p>
    <w:p w14:paraId="209324DE" w14:textId="70AF120F" w:rsidR="00CE01CF" w:rsidRDefault="00CE01CF" w:rsidP="00CE01CF">
      <w:pPr>
        <w:pStyle w:val="ListParagraph"/>
        <w:numPr>
          <w:ilvl w:val="0"/>
          <w:numId w:val="15"/>
        </w:numPr>
        <w:spacing w:before="0" w:after="180"/>
        <w:jc w:val="left"/>
        <w:rPr>
          <w:rFonts w:eastAsia="SimSun"/>
          <w:color w:val="000000"/>
          <w:lang w:eastAsia="zh-CN"/>
        </w:rPr>
      </w:pPr>
      <w:r w:rsidRPr="00CE01CF">
        <w:rPr>
          <w:rFonts w:eastAsia="SimSun"/>
          <w:color w:val="000000"/>
          <w:lang w:eastAsia="zh-CN"/>
        </w:rPr>
        <w:t>RP-182878</w:t>
      </w:r>
      <w:r>
        <w:rPr>
          <w:rFonts w:eastAsia="SimSun"/>
          <w:color w:val="000000"/>
          <w:lang w:eastAsia="zh-CN"/>
        </w:rPr>
        <w:t xml:space="preserve">, </w:t>
      </w:r>
      <w:r w:rsidRPr="00CE01CF">
        <w:rPr>
          <w:rFonts w:eastAsia="SimSun"/>
          <w:color w:val="000000"/>
          <w:lang w:eastAsia="zh-CN"/>
        </w:rPr>
        <w:t>New WID on NR-based Access to Unlicensed Spectrum</w:t>
      </w:r>
      <w:r>
        <w:rPr>
          <w:rFonts w:eastAsia="SimSun"/>
          <w:color w:val="000000"/>
          <w:lang w:eastAsia="zh-CN"/>
        </w:rPr>
        <w:t>, RAN#82</w:t>
      </w:r>
    </w:p>
    <w:p w14:paraId="08164B93" w14:textId="3383F170" w:rsidR="00017FFD" w:rsidRDefault="00017FFD" w:rsidP="00CE01CF">
      <w:pPr>
        <w:pStyle w:val="ListParagraph"/>
        <w:numPr>
          <w:ilvl w:val="0"/>
          <w:numId w:val="15"/>
        </w:numPr>
        <w:spacing w:before="0" w:after="180"/>
        <w:jc w:val="left"/>
        <w:rPr>
          <w:rFonts w:eastAsia="SimSun"/>
          <w:color w:val="000000"/>
          <w:lang w:eastAsia="zh-CN"/>
        </w:rPr>
      </w:pPr>
      <w:bookmarkStart w:id="3" w:name="_Ref878098"/>
      <w:r>
        <w:rPr>
          <w:rFonts w:eastAsia="SimSun"/>
          <w:color w:val="000000"/>
          <w:lang w:eastAsia="zh-CN"/>
        </w:rPr>
        <w:t>Chairman’s Notes, RAN1#</w:t>
      </w:r>
      <w:r w:rsidR="003A2DB2">
        <w:rPr>
          <w:rFonts w:eastAsia="SimSun"/>
          <w:color w:val="000000"/>
          <w:lang w:eastAsia="zh-CN"/>
        </w:rPr>
        <w:t>96BIS</w:t>
      </w:r>
      <w:r>
        <w:rPr>
          <w:rFonts w:eastAsia="SimSun"/>
          <w:color w:val="000000"/>
          <w:lang w:eastAsia="zh-CN"/>
        </w:rPr>
        <w:t xml:space="preserve">, </w:t>
      </w:r>
      <w:r w:rsidR="003A2DB2">
        <w:rPr>
          <w:rFonts w:eastAsia="SimSun"/>
          <w:color w:val="000000"/>
          <w:lang w:eastAsia="zh-CN"/>
        </w:rPr>
        <w:t>April</w:t>
      </w:r>
      <w:r>
        <w:rPr>
          <w:rFonts w:eastAsia="SimSun"/>
          <w:color w:val="000000"/>
          <w:lang w:eastAsia="zh-CN"/>
        </w:rPr>
        <w:t xml:space="preserve"> 2019.</w:t>
      </w:r>
      <w:bookmarkEnd w:id="3"/>
    </w:p>
    <w:p w14:paraId="08DB8E72" w14:textId="69C0376C" w:rsidR="00B17EEB" w:rsidRDefault="003A2DB2" w:rsidP="003A2DB2">
      <w:pPr>
        <w:pStyle w:val="ListParagraph"/>
        <w:numPr>
          <w:ilvl w:val="0"/>
          <w:numId w:val="15"/>
        </w:numPr>
        <w:spacing w:before="0" w:after="180"/>
        <w:jc w:val="left"/>
        <w:rPr>
          <w:rFonts w:eastAsia="SimSun"/>
          <w:color w:val="000000"/>
          <w:lang w:eastAsia="zh-CN"/>
        </w:rPr>
      </w:pPr>
      <w:bookmarkStart w:id="4" w:name="_Ref878141"/>
      <w:bookmarkStart w:id="5" w:name="_Ref4759825"/>
      <w:r w:rsidRPr="003A2DB2">
        <w:rPr>
          <w:rFonts w:eastAsia="SimSun"/>
          <w:color w:val="000000"/>
          <w:lang w:eastAsia="zh-CN"/>
        </w:rPr>
        <w:t>R1-1905779</w:t>
      </w:r>
      <w:r w:rsidR="00774275">
        <w:rPr>
          <w:rFonts w:eastAsia="SimSun"/>
          <w:color w:val="000000"/>
          <w:lang w:eastAsia="zh-CN"/>
        </w:rPr>
        <w:t xml:space="preserve">, </w:t>
      </w:r>
      <w:r w:rsidR="00774275" w:rsidRPr="00774275">
        <w:rPr>
          <w:rFonts w:eastAsia="SimSun"/>
          <w:color w:val="000000"/>
          <w:lang w:eastAsia="zh-CN"/>
        </w:rPr>
        <w:t xml:space="preserve">Summary #2 </w:t>
      </w:r>
      <w:r w:rsidR="00774275">
        <w:rPr>
          <w:rFonts w:eastAsia="SimSun"/>
          <w:color w:val="000000"/>
          <w:lang w:eastAsia="zh-CN"/>
        </w:rPr>
        <w:t xml:space="preserve">on wide-band operation for NR-U, </w:t>
      </w:r>
      <w:r w:rsidR="00774275" w:rsidRPr="00774275">
        <w:rPr>
          <w:rFonts w:eastAsia="SimSun"/>
          <w:color w:val="000000"/>
          <w:lang w:eastAsia="zh-CN"/>
        </w:rPr>
        <w:t>LG Electronic</w:t>
      </w:r>
      <w:bookmarkEnd w:id="4"/>
      <w:r w:rsidR="00774275">
        <w:rPr>
          <w:rFonts w:eastAsia="SimSun"/>
          <w:color w:val="000000"/>
          <w:lang w:eastAsia="zh-CN"/>
        </w:rPr>
        <w:t>s</w:t>
      </w:r>
      <w:bookmarkEnd w:id="5"/>
    </w:p>
    <w:p w14:paraId="0E1B0DAB" w14:textId="4772513D" w:rsidR="002E6B75" w:rsidRPr="00017FFD" w:rsidRDefault="002E6B75" w:rsidP="002E6B75">
      <w:pPr>
        <w:pStyle w:val="ListParagraph"/>
        <w:numPr>
          <w:ilvl w:val="0"/>
          <w:numId w:val="15"/>
        </w:numPr>
        <w:spacing w:before="0" w:after="180"/>
        <w:jc w:val="left"/>
        <w:rPr>
          <w:rFonts w:eastAsia="SimSun"/>
          <w:color w:val="000000"/>
          <w:lang w:eastAsia="zh-CN"/>
        </w:rPr>
      </w:pPr>
      <w:bookmarkStart w:id="6" w:name="_Ref7801352"/>
      <w:r w:rsidRPr="002E6B75">
        <w:rPr>
          <w:rFonts w:eastAsia="SimSun"/>
          <w:color w:val="000000"/>
          <w:lang w:eastAsia="zh-CN"/>
        </w:rPr>
        <w:t>R4-1907124</w:t>
      </w:r>
      <w:r>
        <w:rPr>
          <w:rFonts w:eastAsia="SimSun"/>
          <w:color w:val="000000"/>
          <w:lang w:eastAsia="zh-CN"/>
        </w:rPr>
        <w:t>,</w:t>
      </w:r>
      <w:r w:rsidRPr="002E6B75">
        <w:rPr>
          <w:rFonts w:eastAsia="SimSun"/>
          <w:color w:val="000000"/>
          <w:lang w:eastAsia="zh-CN"/>
        </w:rPr>
        <w:t xml:space="preserve"> Emission Mask Considerations for single wideband carrier operation modes</w:t>
      </w:r>
      <w:r>
        <w:rPr>
          <w:rFonts w:eastAsia="SimSun"/>
          <w:color w:val="000000"/>
          <w:lang w:eastAsia="zh-CN"/>
        </w:rPr>
        <w:t>, Charter Communications, May 2019.</w:t>
      </w:r>
      <w:bookmarkEnd w:id="6"/>
    </w:p>
    <w:p w14:paraId="69F463E8" w14:textId="77777777" w:rsidR="00B17EEB" w:rsidRPr="00B17EEB" w:rsidRDefault="00B17EEB" w:rsidP="00B17EEB">
      <w:pPr>
        <w:spacing w:before="0" w:after="180"/>
        <w:jc w:val="left"/>
        <w:rPr>
          <w:rFonts w:eastAsia="SimSun"/>
          <w:color w:val="000000"/>
          <w:lang w:eastAsia="zh-CN"/>
        </w:rPr>
      </w:pPr>
    </w:p>
    <w:sectPr w:rsidR="00B17EEB" w:rsidRPr="00B17EEB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CDAF0E" w14:textId="77777777" w:rsidR="008D610B" w:rsidRDefault="008D610B" w:rsidP="00424124">
      <w:pPr>
        <w:spacing w:before="0" w:after="0"/>
      </w:pPr>
      <w:r>
        <w:separator/>
      </w:r>
    </w:p>
  </w:endnote>
  <w:endnote w:type="continuationSeparator" w:id="0">
    <w:p w14:paraId="634A31A2" w14:textId="77777777" w:rsidR="008D610B" w:rsidRDefault="008D610B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18D679" w14:textId="77777777" w:rsidR="008D610B" w:rsidRDefault="008D610B" w:rsidP="00424124">
      <w:pPr>
        <w:spacing w:before="0" w:after="0"/>
      </w:pPr>
      <w:r>
        <w:separator/>
      </w:r>
    </w:p>
  </w:footnote>
  <w:footnote w:type="continuationSeparator" w:id="0">
    <w:p w14:paraId="298BCB89" w14:textId="77777777" w:rsidR="008D610B" w:rsidRDefault="008D610B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85FCE"/>
    <w:multiLevelType w:val="hybridMultilevel"/>
    <w:tmpl w:val="3B6CEBC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CA3D0D"/>
    <w:multiLevelType w:val="hybridMultilevel"/>
    <w:tmpl w:val="BB787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543C9"/>
    <w:multiLevelType w:val="hybridMultilevel"/>
    <w:tmpl w:val="29F4021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0C886A4B"/>
    <w:multiLevelType w:val="hybridMultilevel"/>
    <w:tmpl w:val="D84A2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350EEF"/>
    <w:multiLevelType w:val="hybridMultilevel"/>
    <w:tmpl w:val="07B4E268"/>
    <w:lvl w:ilvl="0" w:tplc="C9C643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D51F26"/>
    <w:multiLevelType w:val="hybridMultilevel"/>
    <w:tmpl w:val="E7621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30EC99A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C52BE7"/>
    <w:multiLevelType w:val="hybridMultilevel"/>
    <w:tmpl w:val="C47410A2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 w15:restartNumberingAfterBreak="0">
    <w:nsid w:val="172778F3"/>
    <w:multiLevelType w:val="hybridMultilevel"/>
    <w:tmpl w:val="78442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0C7224"/>
    <w:multiLevelType w:val="hybridMultilevel"/>
    <w:tmpl w:val="2B0A8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5E521C"/>
    <w:multiLevelType w:val="hybridMultilevel"/>
    <w:tmpl w:val="2C7CD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D412B1"/>
    <w:multiLevelType w:val="hybridMultilevel"/>
    <w:tmpl w:val="D0AE4D9E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7214A28"/>
    <w:multiLevelType w:val="hybridMultilevel"/>
    <w:tmpl w:val="2A0EA8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37840"/>
    <w:multiLevelType w:val="hybridMultilevel"/>
    <w:tmpl w:val="E18E825E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CE164BD"/>
    <w:multiLevelType w:val="hybridMultilevel"/>
    <w:tmpl w:val="C67A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725475"/>
    <w:multiLevelType w:val="hybridMultilevel"/>
    <w:tmpl w:val="96C82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BF6FE5"/>
    <w:multiLevelType w:val="hybridMultilevel"/>
    <w:tmpl w:val="0706E52C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BB845FD"/>
    <w:multiLevelType w:val="hybridMultilevel"/>
    <w:tmpl w:val="8B1C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3EDF4090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3A446A"/>
    <w:multiLevelType w:val="hybridMultilevel"/>
    <w:tmpl w:val="EF94B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3738A3"/>
    <w:multiLevelType w:val="hybridMultilevel"/>
    <w:tmpl w:val="FC060342"/>
    <w:lvl w:ilvl="0" w:tplc="FFFFFFFF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52D0B37"/>
    <w:multiLevelType w:val="hybridMultilevel"/>
    <w:tmpl w:val="DA407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761266"/>
    <w:multiLevelType w:val="hybridMultilevel"/>
    <w:tmpl w:val="1862E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0072B7"/>
    <w:multiLevelType w:val="hybridMultilevel"/>
    <w:tmpl w:val="5596CFA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DDE1232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D3CBA"/>
    <w:multiLevelType w:val="hybridMultilevel"/>
    <w:tmpl w:val="C08E980C"/>
    <w:lvl w:ilvl="0" w:tplc="76E83986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D40528"/>
    <w:multiLevelType w:val="hybridMultilevel"/>
    <w:tmpl w:val="F45608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D2D5713"/>
    <w:multiLevelType w:val="hybridMultilevel"/>
    <w:tmpl w:val="CC7A22DC"/>
    <w:lvl w:ilvl="0" w:tplc="E3582CC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542960"/>
    <w:multiLevelType w:val="hybridMultilevel"/>
    <w:tmpl w:val="34643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29747A"/>
    <w:multiLevelType w:val="multilevel"/>
    <w:tmpl w:val="D4B822C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8" w15:restartNumberingAfterBreak="0">
    <w:nsid w:val="62286E8C"/>
    <w:multiLevelType w:val="hybridMultilevel"/>
    <w:tmpl w:val="4E1C1C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2A517A6"/>
    <w:multiLevelType w:val="hybridMultilevel"/>
    <w:tmpl w:val="FD540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033CA6"/>
    <w:multiLevelType w:val="hybridMultilevel"/>
    <w:tmpl w:val="F566E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4A1750">
      <w:numFmt w:val="bullet"/>
      <w:lvlText w:val="-"/>
      <w:lvlJc w:val="left"/>
      <w:pPr>
        <w:ind w:left="2160" w:hanging="360"/>
      </w:pPr>
      <w:rPr>
        <w:rFonts w:ascii="Times" w:eastAsia="Malgun Gothic" w:hAnsi="Times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F46812"/>
    <w:multiLevelType w:val="multilevel"/>
    <w:tmpl w:val="A4C81A5A"/>
    <w:lvl w:ilvl="0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2" w15:restartNumberingAfterBreak="0">
    <w:nsid w:val="67D76CB0"/>
    <w:multiLevelType w:val="hybridMultilevel"/>
    <w:tmpl w:val="E77AE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8E867DA"/>
    <w:multiLevelType w:val="hybridMultilevel"/>
    <w:tmpl w:val="C5ACFBDC"/>
    <w:lvl w:ilvl="0" w:tplc="0409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44" w15:restartNumberingAfterBreak="0">
    <w:nsid w:val="6D87193C"/>
    <w:multiLevelType w:val="hybridMultilevel"/>
    <w:tmpl w:val="94560EC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F6DE3358">
      <w:numFmt w:val="bullet"/>
      <w:lvlText w:val="-"/>
      <w:lvlJc w:val="left"/>
      <w:pPr>
        <w:ind w:left="1560" w:hanging="420"/>
      </w:pPr>
      <w:rPr>
        <w:rFonts w:ascii="Times New Roman" w:eastAsia="MS Mincho" w:hAnsi="Times New Roman" w:cs="Times New Roman" w:hint="default"/>
      </w:rPr>
    </w:lvl>
    <w:lvl w:ilvl="2" w:tplc="1A40749C">
      <w:start w:val="1"/>
      <w:numFmt w:val="bullet"/>
      <w:lvlText w:val="•"/>
      <w:lvlJc w:val="left"/>
      <w:pPr>
        <w:ind w:left="19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5" w15:restartNumberingAfterBreak="0">
    <w:nsid w:val="7AD74B8C"/>
    <w:multiLevelType w:val="hybridMultilevel"/>
    <w:tmpl w:val="F4FCFADA"/>
    <w:lvl w:ilvl="0" w:tplc="108642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E8B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CCC2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268B1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D0822E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E4F25A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0E3A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F8AF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D4AB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DC4183C"/>
    <w:multiLevelType w:val="hybridMultilevel"/>
    <w:tmpl w:val="F45AC65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7" w15:restartNumberingAfterBreak="0">
    <w:nsid w:val="7E777BBE"/>
    <w:multiLevelType w:val="hybridMultilevel"/>
    <w:tmpl w:val="F82EA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0"/>
  </w:num>
  <w:num w:numId="3">
    <w:abstractNumId w:val="37"/>
  </w:num>
  <w:num w:numId="4">
    <w:abstractNumId w:val="4"/>
  </w:num>
  <w:num w:numId="5">
    <w:abstractNumId w:val="46"/>
  </w:num>
  <w:num w:numId="6">
    <w:abstractNumId w:val="43"/>
  </w:num>
  <w:num w:numId="7">
    <w:abstractNumId w:val="6"/>
  </w:num>
  <w:num w:numId="8">
    <w:abstractNumId w:val="18"/>
  </w:num>
  <w:num w:numId="9">
    <w:abstractNumId w:val="45"/>
  </w:num>
  <w:num w:numId="10">
    <w:abstractNumId w:val="15"/>
  </w:num>
  <w:num w:numId="11">
    <w:abstractNumId w:val="13"/>
  </w:num>
  <w:num w:numId="12">
    <w:abstractNumId w:val="21"/>
  </w:num>
  <w:num w:numId="13">
    <w:abstractNumId w:val="27"/>
  </w:num>
  <w:num w:numId="14">
    <w:abstractNumId w:val="35"/>
  </w:num>
  <w:num w:numId="15">
    <w:abstractNumId w:val="8"/>
  </w:num>
  <w:num w:numId="16">
    <w:abstractNumId w:val="23"/>
  </w:num>
  <w:num w:numId="17">
    <w:abstractNumId w:val="37"/>
  </w:num>
  <w:num w:numId="18">
    <w:abstractNumId w:val="37"/>
  </w:num>
  <w:num w:numId="19">
    <w:abstractNumId w:val="25"/>
  </w:num>
  <w:num w:numId="20">
    <w:abstractNumId w:val="16"/>
  </w:num>
  <w:num w:numId="21">
    <w:abstractNumId w:val="2"/>
  </w:num>
  <w:num w:numId="22">
    <w:abstractNumId w:val="36"/>
  </w:num>
  <w:num w:numId="23">
    <w:abstractNumId w:val="40"/>
  </w:num>
  <w:num w:numId="24">
    <w:abstractNumId w:val="47"/>
  </w:num>
  <w:num w:numId="25">
    <w:abstractNumId w:val="17"/>
  </w:num>
  <w:num w:numId="26">
    <w:abstractNumId w:val="24"/>
  </w:num>
  <w:num w:numId="27">
    <w:abstractNumId w:val="12"/>
  </w:num>
  <w:num w:numId="28">
    <w:abstractNumId w:val="1"/>
  </w:num>
  <w:num w:numId="29">
    <w:abstractNumId w:val="20"/>
  </w:num>
  <w:num w:numId="30">
    <w:abstractNumId w:val="26"/>
  </w:num>
  <w:num w:numId="31">
    <w:abstractNumId w:val="29"/>
  </w:num>
  <w:num w:numId="32">
    <w:abstractNumId w:val="22"/>
  </w:num>
  <w:num w:numId="33">
    <w:abstractNumId w:val="39"/>
  </w:num>
  <w:num w:numId="34">
    <w:abstractNumId w:val="32"/>
  </w:num>
  <w:num w:numId="35">
    <w:abstractNumId w:val="42"/>
  </w:num>
  <w:num w:numId="36">
    <w:abstractNumId w:val="11"/>
  </w:num>
  <w:num w:numId="37">
    <w:abstractNumId w:val="33"/>
  </w:num>
  <w:num w:numId="38">
    <w:abstractNumId w:val="19"/>
  </w:num>
  <w:num w:numId="39">
    <w:abstractNumId w:val="7"/>
  </w:num>
  <w:num w:numId="40">
    <w:abstractNumId w:val="44"/>
  </w:num>
  <w:num w:numId="41">
    <w:abstractNumId w:val="30"/>
  </w:num>
  <w:num w:numId="42">
    <w:abstractNumId w:val="9"/>
  </w:num>
  <w:num w:numId="43">
    <w:abstractNumId w:val="41"/>
  </w:num>
  <w:num w:numId="44">
    <w:abstractNumId w:val="5"/>
  </w:num>
  <w:num w:numId="45">
    <w:abstractNumId w:val="34"/>
  </w:num>
  <w:num w:numId="46">
    <w:abstractNumId w:val="31"/>
  </w:num>
  <w:num w:numId="47">
    <w:abstractNumId w:val="0"/>
  </w:num>
  <w:num w:numId="48">
    <w:abstractNumId w:val="3"/>
  </w:num>
  <w:num w:numId="49">
    <w:abstractNumId w:val="38"/>
  </w:num>
  <w:num w:numId="50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124"/>
    <w:rsid w:val="00001127"/>
    <w:rsid w:val="00001BBA"/>
    <w:rsid w:val="000052FF"/>
    <w:rsid w:val="000076DA"/>
    <w:rsid w:val="0001485D"/>
    <w:rsid w:val="000149EC"/>
    <w:rsid w:val="00017FFD"/>
    <w:rsid w:val="00020F1A"/>
    <w:rsid w:val="00021B12"/>
    <w:rsid w:val="0002241D"/>
    <w:rsid w:val="0002554E"/>
    <w:rsid w:val="0003164E"/>
    <w:rsid w:val="00032D47"/>
    <w:rsid w:val="00043E82"/>
    <w:rsid w:val="00045166"/>
    <w:rsid w:val="000463E4"/>
    <w:rsid w:val="00050ECD"/>
    <w:rsid w:val="00051B4B"/>
    <w:rsid w:val="0005287A"/>
    <w:rsid w:val="00053101"/>
    <w:rsid w:val="000541BF"/>
    <w:rsid w:val="0005488F"/>
    <w:rsid w:val="000550BC"/>
    <w:rsid w:val="000643FA"/>
    <w:rsid w:val="000730C9"/>
    <w:rsid w:val="0007575F"/>
    <w:rsid w:val="00075C88"/>
    <w:rsid w:val="00075FD1"/>
    <w:rsid w:val="0007622C"/>
    <w:rsid w:val="00080F03"/>
    <w:rsid w:val="00085800"/>
    <w:rsid w:val="0008625B"/>
    <w:rsid w:val="000865E3"/>
    <w:rsid w:val="000917C5"/>
    <w:rsid w:val="00093068"/>
    <w:rsid w:val="00096B50"/>
    <w:rsid w:val="000977EE"/>
    <w:rsid w:val="000A36A9"/>
    <w:rsid w:val="000A7025"/>
    <w:rsid w:val="000B0720"/>
    <w:rsid w:val="000B62EA"/>
    <w:rsid w:val="000B6D99"/>
    <w:rsid w:val="000C57B9"/>
    <w:rsid w:val="000D2643"/>
    <w:rsid w:val="000D38DC"/>
    <w:rsid w:val="000E29D8"/>
    <w:rsid w:val="000E5F17"/>
    <w:rsid w:val="000F41B9"/>
    <w:rsid w:val="000F6524"/>
    <w:rsid w:val="0010303E"/>
    <w:rsid w:val="00104F9A"/>
    <w:rsid w:val="00111F1B"/>
    <w:rsid w:val="0011327D"/>
    <w:rsid w:val="0011368E"/>
    <w:rsid w:val="00116DA6"/>
    <w:rsid w:val="00125D11"/>
    <w:rsid w:val="00134683"/>
    <w:rsid w:val="00137904"/>
    <w:rsid w:val="0014178F"/>
    <w:rsid w:val="001417A8"/>
    <w:rsid w:val="001475FC"/>
    <w:rsid w:val="00153793"/>
    <w:rsid w:val="00156D74"/>
    <w:rsid w:val="00167D68"/>
    <w:rsid w:val="00172743"/>
    <w:rsid w:val="00174B69"/>
    <w:rsid w:val="001775C4"/>
    <w:rsid w:val="0018672E"/>
    <w:rsid w:val="0019008C"/>
    <w:rsid w:val="001937A9"/>
    <w:rsid w:val="001941FB"/>
    <w:rsid w:val="00197607"/>
    <w:rsid w:val="001A34BE"/>
    <w:rsid w:val="001A5A68"/>
    <w:rsid w:val="001A6212"/>
    <w:rsid w:val="001A75E0"/>
    <w:rsid w:val="001B5BB8"/>
    <w:rsid w:val="001B731B"/>
    <w:rsid w:val="001C07DC"/>
    <w:rsid w:val="001C1DB8"/>
    <w:rsid w:val="001C699C"/>
    <w:rsid w:val="001E0CE1"/>
    <w:rsid w:val="001E58CC"/>
    <w:rsid w:val="001F4CF3"/>
    <w:rsid w:val="001F59ED"/>
    <w:rsid w:val="001F6D27"/>
    <w:rsid w:val="0021123D"/>
    <w:rsid w:val="00211D37"/>
    <w:rsid w:val="00212204"/>
    <w:rsid w:val="00216763"/>
    <w:rsid w:val="00216DF5"/>
    <w:rsid w:val="00220E3A"/>
    <w:rsid w:val="002211DE"/>
    <w:rsid w:val="00222269"/>
    <w:rsid w:val="00222813"/>
    <w:rsid w:val="00222CD5"/>
    <w:rsid w:val="00223678"/>
    <w:rsid w:val="00233D70"/>
    <w:rsid w:val="00235373"/>
    <w:rsid w:val="00242F81"/>
    <w:rsid w:val="00245626"/>
    <w:rsid w:val="00246D61"/>
    <w:rsid w:val="0024786A"/>
    <w:rsid w:val="0025058B"/>
    <w:rsid w:val="002530E8"/>
    <w:rsid w:val="00256257"/>
    <w:rsid w:val="00257F9A"/>
    <w:rsid w:val="00262116"/>
    <w:rsid w:val="00263575"/>
    <w:rsid w:val="002641FE"/>
    <w:rsid w:val="00267362"/>
    <w:rsid w:val="002725E8"/>
    <w:rsid w:val="00272EC2"/>
    <w:rsid w:val="00273B2A"/>
    <w:rsid w:val="00274677"/>
    <w:rsid w:val="00274CFD"/>
    <w:rsid w:val="002759D2"/>
    <w:rsid w:val="00276ACF"/>
    <w:rsid w:val="0028740C"/>
    <w:rsid w:val="002879EB"/>
    <w:rsid w:val="0029147A"/>
    <w:rsid w:val="00294DE0"/>
    <w:rsid w:val="00297225"/>
    <w:rsid w:val="002A005E"/>
    <w:rsid w:val="002A0226"/>
    <w:rsid w:val="002A0270"/>
    <w:rsid w:val="002A1134"/>
    <w:rsid w:val="002B770A"/>
    <w:rsid w:val="002C0488"/>
    <w:rsid w:val="002C2227"/>
    <w:rsid w:val="002C4097"/>
    <w:rsid w:val="002C6BAC"/>
    <w:rsid w:val="002C7511"/>
    <w:rsid w:val="002D0CCE"/>
    <w:rsid w:val="002D3D42"/>
    <w:rsid w:val="002D479B"/>
    <w:rsid w:val="002D59EA"/>
    <w:rsid w:val="002D6DFE"/>
    <w:rsid w:val="002D6EC9"/>
    <w:rsid w:val="002D787B"/>
    <w:rsid w:val="002E0939"/>
    <w:rsid w:val="002E1960"/>
    <w:rsid w:val="002E6296"/>
    <w:rsid w:val="002E6B75"/>
    <w:rsid w:val="002F12DF"/>
    <w:rsid w:val="002F323E"/>
    <w:rsid w:val="002F3A3B"/>
    <w:rsid w:val="002F5136"/>
    <w:rsid w:val="00313064"/>
    <w:rsid w:val="00315DC4"/>
    <w:rsid w:val="00317020"/>
    <w:rsid w:val="003179BB"/>
    <w:rsid w:val="00320B4D"/>
    <w:rsid w:val="00324890"/>
    <w:rsid w:val="00325DAA"/>
    <w:rsid w:val="00326F00"/>
    <w:rsid w:val="00326FF6"/>
    <w:rsid w:val="00327A22"/>
    <w:rsid w:val="00335D1C"/>
    <w:rsid w:val="00340AC1"/>
    <w:rsid w:val="00342130"/>
    <w:rsid w:val="0034406D"/>
    <w:rsid w:val="00346605"/>
    <w:rsid w:val="00347BF0"/>
    <w:rsid w:val="00350CCC"/>
    <w:rsid w:val="0035318F"/>
    <w:rsid w:val="00354C01"/>
    <w:rsid w:val="00355B9A"/>
    <w:rsid w:val="00356887"/>
    <w:rsid w:val="0036306A"/>
    <w:rsid w:val="003658B1"/>
    <w:rsid w:val="00366EFE"/>
    <w:rsid w:val="003705DD"/>
    <w:rsid w:val="003727DB"/>
    <w:rsid w:val="00377097"/>
    <w:rsid w:val="00382C0D"/>
    <w:rsid w:val="00386642"/>
    <w:rsid w:val="003921D6"/>
    <w:rsid w:val="00392E82"/>
    <w:rsid w:val="003A1896"/>
    <w:rsid w:val="003A298A"/>
    <w:rsid w:val="003A2DB2"/>
    <w:rsid w:val="003A553B"/>
    <w:rsid w:val="003A566A"/>
    <w:rsid w:val="003B1EC9"/>
    <w:rsid w:val="003B4530"/>
    <w:rsid w:val="003C2392"/>
    <w:rsid w:val="003C2E75"/>
    <w:rsid w:val="003D70AA"/>
    <w:rsid w:val="003E1304"/>
    <w:rsid w:val="003E6192"/>
    <w:rsid w:val="003E7121"/>
    <w:rsid w:val="003E7D22"/>
    <w:rsid w:val="003F0731"/>
    <w:rsid w:val="003F2A73"/>
    <w:rsid w:val="003F33B4"/>
    <w:rsid w:val="003F63ED"/>
    <w:rsid w:val="00401C75"/>
    <w:rsid w:val="00401FB8"/>
    <w:rsid w:val="00405F6D"/>
    <w:rsid w:val="004075BA"/>
    <w:rsid w:val="004137D5"/>
    <w:rsid w:val="004146B7"/>
    <w:rsid w:val="00424124"/>
    <w:rsid w:val="00426B8E"/>
    <w:rsid w:val="00427BEF"/>
    <w:rsid w:val="00434212"/>
    <w:rsid w:val="00434A4B"/>
    <w:rsid w:val="004364F4"/>
    <w:rsid w:val="004372E5"/>
    <w:rsid w:val="00440F6E"/>
    <w:rsid w:val="00443645"/>
    <w:rsid w:val="00443CD6"/>
    <w:rsid w:val="00446BF2"/>
    <w:rsid w:val="00453805"/>
    <w:rsid w:val="004539BD"/>
    <w:rsid w:val="004547B0"/>
    <w:rsid w:val="004552C9"/>
    <w:rsid w:val="004567F3"/>
    <w:rsid w:val="0045714E"/>
    <w:rsid w:val="004607AC"/>
    <w:rsid w:val="0046127E"/>
    <w:rsid w:val="004626B7"/>
    <w:rsid w:val="004627B4"/>
    <w:rsid w:val="004678E1"/>
    <w:rsid w:val="00473281"/>
    <w:rsid w:val="00473586"/>
    <w:rsid w:val="00473B68"/>
    <w:rsid w:val="00475FA6"/>
    <w:rsid w:val="0047618F"/>
    <w:rsid w:val="00482B14"/>
    <w:rsid w:val="0048301B"/>
    <w:rsid w:val="00483115"/>
    <w:rsid w:val="00493033"/>
    <w:rsid w:val="00493BD6"/>
    <w:rsid w:val="00496EAE"/>
    <w:rsid w:val="004A5ABE"/>
    <w:rsid w:val="004A6424"/>
    <w:rsid w:val="004A69D0"/>
    <w:rsid w:val="004A6A82"/>
    <w:rsid w:val="004B6AA8"/>
    <w:rsid w:val="004B6E00"/>
    <w:rsid w:val="004C186B"/>
    <w:rsid w:val="004C3F2E"/>
    <w:rsid w:val="004C4314"/>
    <w:rsid w:val="004C4856"/>
    <w:rsid w:val="004C7784"/>
    <w:rsid w:val="004D58F6"/>
    <w:rsid w:val="004D6971"/>
    <w:rsid w:val="004D7227"/>
    <w:rsid w:val="004D780D"/>
    <w:rsid w:val="004D7CF8"/>
    <w:rsid w:val="004E67D0"/>
    <w:rsid w:val="004E6BC0"/>
    <w:rsid w:val="004E6D3B"/>
    <w:rsid w:val="004F264D"/>
    <w:rsid w:val="004F4495"/>
    <w:rsid w:val="004F79FA"/>
    <w:rsid w:val="005055A6"/>
    <w:rsid w:val="00507060"/>
    <w:rsid w:val="0051179B"/>
    <w:rsid w:val="0051424F"/>
    <w:rsid w:val="00522DDD"/>
    <w:rsid w:val="00523623"/>
    <w:rsid w:val="005259A3"/>
    <w:rsid w:val="005267DB"/>
    <w:rsid w:val="00526CF5"/>
    <w:rsid w:val="00530CB9"/>
    <w:rsid w:val="0053586B"/>
    <w:rsid w:val="0054400A"/>
    <w:rsid w:val="00551A40"/>
    <w:rsid w:val="005553CE"/>
    <w:rsid w:val="0056238B"/>
    <w:rsid w:val="00565BDB"/>
    <w:rsid w:val="00566D34"/>
    <w:rsid w:val="005700A9"/>
    <w:rsid w:val="0057145F"/>
    <w:rsid w:val="00572B57"/>
    <w:rsid w:val="005758E7"/>
    <w:rsid w:val="00575CB3"/>
    <w:rsid w:val="005778C8"/>
    <w:rsid w:val="0058113E"/>
    <w:rsid w:val="0058120D"/>
    <w:rsid w:val="00582E47"/>
    <w:rsid w:val="00583D11"/>
    <w:rsid w:val="0059634F"/>
    <w:rsid w:val="005B0B01"/>
    <w:rsid w:val="005B4697"/>
    <w:rsid w:val="005B47BD"/>
    <w:rsid w:val="005B6FA6"/>
    <w:rsid w:val="005D2C51"/>
    <w:rsid w:val="005F613D"/>
    <w:rsid w:val="005F6B0A"/>
    <w:rsid w:val="005F6EBB"/>
    <w:rsid w:val="0060256B"/>
    <w:rsid w:val="00603015"/>
    <w:rsid w:val="0060603E"/>
    <w:rsid w:val="00612E22"/>
    <w:rsid w:val="006325F6"/>
    <w:rsid w:val="0063350A"/>
    <w:rsid w:val="00634707"/>
    <w:rsid w:val="0063597B"/>
    <w:rsid w:val="006375EC"/>
    <w:rsid w:val="006378CA"/>
    <w:rsid w:val="00637D76"/>
    <w:rsid w:val="00641FF0"/>
    <w:rsid w:val="00644034"/>
    <w:rsid w:val="00652AC8"/>
    <w:rsid w:val="0066157D"/>
    <w:rsid w:val="0067178A"/>
    <w:rsid w:val="00671A08"/>
    <w:rsid w:val="00672B47"/>
    <w:rsid w:val="0067313E"/>
    <w:rsid w:val="006756FB"/>
    <w:rsid w:val="0067647D"/>
    <w:rsid w:val="00677BD0"/>
    <w:rsid w:val="00685B82"/>
    <w:rsid w:val="00685E11"/>
    <w:rsid w:val="0069705B"/>
    <w:rsid w:val="006A0EDC"/>
    <w:rsid w:val="006A18DB"/>
    <w:rsid w:val="006A19C4"/>
    <w:rsid w:val="006A2D2E"/>
    <w:rsid w:val="006A48DA"/>
    <w:rsid w:val="006A5891"/>
    <w:rsid w:val="006B5025"/>
    <w:rsid w:val="006B511E"/>
    <w:rsid w:val="006C452E"/>
    <w:rsid w:val="006C6A78"/>
    <w:rsid w:val="006C7DB5"/>
    <w:rsid w:val="006D0E79"/>
    <w:rsid w:val="006D5B36"/>
    <w:rsid w:val="006E0B85"/>
    <w:rsid w:val="006E1947"/>
    <w:rsid w:val="006E3698"/>
    <w:rsid w:val="006E5242"/>
    <w:rsid w:val="006E790B"/>
    <w:rsid w:val="006F04A4"/>
    <w:rsid w:val="006F055C"/>
    <w:rsid w:val="006F3A2E"/>
    <w:rsid w:val="007002C9"/>
    <w:rsid w:val="007024FE"/>
    <w:rsid w:val="00707D20"/>
    <w:rsid w:val="00715B93"/>
    <w:rsid w:val="00721AD7"/>
    <w:rsid w:val="007225EF"/>
    <w:rsid w:val="00722BA6"/>
    <w:rsid w:val="007231EB"/>
    <w:rsid w:val="00723DC5"/>
    <w:rsid w:val="00727952"/>
    <w:rsid w:val="007338D6"/>
    <w:rsid w:val="00740437"/>
    <w:rsid w:val="00740B36"/>
    <w:rsid w:val="00745EBA"/>
    <w:rsid w:val="00746DED"/>
    <w:rsid w:val="00747A6F"/>
    <w:rsid w:val="0075158D"/>
    <w:rsid w:val="0075622F"/>
    <w:rsid w:val="0076067D"/>
    <w:rsid w:val="0076281C"/>
    <w:rsid w:val="007632E9"/>
    <w:rsid w:val="00764288"/>
    <w:rsid w:val="0076440A"/>
    <w:rsid w:val="00774275"/>
    <w:rsid w:val="00774F2A"/>
    <w:rsid w:val="0078042F"/>
    <w:rsid w:val="00781A50"/>
    <w:rsid w:val="00782B9C"/>
    <w:rsid w:val="00782CDC"/>
    <w:rsid w:val="007839F9"/>
    <w:rsid w:val="00796763"/>
    <w:rsid w:val="00797765"/>
    <w:rsid w:val="007A2765"/>
    <w:rsid w:val="007A2E96"/>
    <w:rsid w:val="007A546E"/>
    <w:rsid w:val="007B13E5"/>
    <w:rsid w:val="007B2F6B"/>
    <w:rsid w:val="007B473A"/>
    <w:rsid w:val="007C6C1E"/>
    <w:rsid w:val="007D2A36"/>
    <w:rsid w:val="007D2C48"/>
    <w:rsid w:val="007D4056"/>
    <w:rsid w:val="007E0C23"/>
    <w:rsid w:val="007E546F"/>
    <w:rsid w:val="007F1928"/>
    <w:rsid w:val="007F1C30"/>
    <w:rsid w:val="007F343C"/>
    <w:rsid w:val="007F392E"/>
    <w:rsid w:val="00801422"/>
    <w:rsid w:val="008016B6"/>
    <w:rsid w:val="008022A0"/>
    <w:rsid w:val="00806FA9"/>
    <w:rsid w:val="00811234"/>
    <w:rsid w:val="00811A1B"/>
    <w:rsid w:val="008135D0"/>
    <w:rsid w:val="008204DD"/>
    <w:rsid w:val="00824DED"/>
    <w:rsid w:val="00826E5A"/>
    <w:rsid w:val="008276A8"/>
    <w:rsid w:val="008313C8"/>
    <w:rsid w:val="00832626"/>
    <w:rsid w:val="008363BC"/>
    <w:rsid w:val="008437B2"/>
    <w:rsid w:val="00843A9C"/>
    <w:rsid w:val="00843F1C"/>
    <w:rsid w:val="008500BA"/>
    <w:rsid w:val="00850DCE"/>
    <w:rsid w:val="00854FBB"/>
    <w:rsid w:val="00862292"/>
    <w:rsid w:val="008661BA"/>
    <w:rsid w:val="00871CA8"/>
    <w:rsid w:val="00877963"/>
    <w:rsid w:val="00881613"/>
    <w:rsid w:val="008836DC"/>
    <w:rsid w:val="00885004"/>
    <w:rsid w:val="00887AB4"/>
    <w:rsid w:val="00894290"/>
    <w:rsid w:val="008979E7"/>
    <w:rsid w:val="008A0061"/>
    <w:rsid w:val="008A25A1"/>
    <w:rsid w:val="008A3CFC"/>
    <w:rsid w:val="008B39B6"/>
    <w:rsid w:val="008B72C0"/>
    <w:rsid w:val="008C18F2"/>
    <w:rsid w:val="008C1AFD"/>
    <w:rsid w:val="008C27C3"/>
    <w:rsid w:val="008C4B67"/>
    <w:rsid w:val="008D1AEF"/>
    <w:rsid w:val="008D5F8F"/>
    <w:rsid w:val="008D610B"/>
    <w:rsid w:val="008E14F3"/>
    <w:rsid w:val="008E1F61"/>
    <w:rsid w:val="008E5DA1"/>
    <w:rsid w:val="008F20FD"/>
    <w:rsid w:val="008F4140"/>
    <w:rsid w:val="008F544C"/>
    <w:rsid w:val="009008F8"/>
    <w:rsid w:val="009032D5"/>
    <w:rsid w:val="00905E86"/>
    <w:rsid w:val="009124E4"/>
    <w:rsid w:val="009168C7"/>
    <w:rsid w:val="00925891"/>
    <w:rsid w:val="00925FA2"/>
    <w:rsid w:val="00926A9C"/>
    <w:rsid w:val="00927724"/>
    <w:rsid w:val="00927803"/>
    <w:rsid w:val="00927C5B"/>
    <w:rsid w:val="00930428"/>
    <w:rsid w:val="00932363"/>
    <w:rsid w:val="009376A2"/>
    <w:rsid w:val="00940F15"/>
    <w:rsid w:val="009513D1"/>
    <w:rsid w:val="00955F06"/>
    <w:rsid w:val="00955F46"/>
    <w:rsid w:val="00957CD1"/>
    <w:rsid w:val="00961DB2"/>
    <w:rsid w:val="00965321"/>
    <w:rsid w:val="009666B1"/>
    <w:rsid w:val="0097126A"/>
    <w:rsid w:val="0097292F"/>
    <w:rsid w:val="009741D9"/>
    <w:rsid w:val="00974CC1"/>
    <w:rsid w:val="00982CA4"/>
    <w:rsid w:val="00984235"/>
    <w:rsid w:val="009852A0"/>
    <w:rsid w:val="009926F3"/>
    <w:rsid w:val="00993D92"/>
    <w:rsid w:val="00997480"/>
    <w:rsid w:val="009A4D63"/>
    <w:rsid w:val="009A54FC"/>
    <w:rsid w:val="009A5A1C"/>
    <w:rsid w:val="009B08C5"/>
    <w:rsid w:val="009B0DE8"/>
    <w:rsid w:val="009B52C0"/>
    <w:rsid w:val="009C2167"/>
    <w:rsid w:val="009C324F"/>
    <w:rsid w:val="009C3EE1"/>
    <w:rsid w:val="009C6D2C"/>
    <w:rsid w:val="009D46C1"/>
    <w:rsid w:val="009E0D02"/>
    <w:rsid w:val="009E4614"/>
    <w:rsid w:val="009E5838"/>
    <w:rsid w:val="009F3F92"/>
    <w:rsid w:val="009F6C30"/>
    <w:rsid w:val="00A039FE"/>
    <w:rsid w:val="00A04465"/>
    <w:rsid w:val="00A0495F"/>
    <w:rsid w:val="00A06D64"/>
    <w:rsid w:val="00A11704"/>
    <w:rsid w:val="00A11840"/>
    <w:rsid w:val="00A12440"/>
    <w:rsid w:val="00A22957"/>
    <w:rsid w:val="00A22C61"/>
    <w:rsid w:val="00A2443D"/>
    <w:rsid w:val="00A262E4"/>
    <w:rsid w:val="00A26EC3"/>
    <w:rsid w:val="00A309D2"/>
    <w:rsid w:val="00A354E9"/>
    <w:rsid w:val="00A41CF3"/>
    <w:rsid w:val="00A4674D"/>
    <w:rsid w:val="00A530D6"/>
    <w:rsid w:val="00A55FF3"/>
    <w:rsid w:val="00A603CE"/>
    <w:rsid w:val="00A64CF7"/>
    <w:rsid w:val="00A7739D"/>
    <w:rsid w:val="00A811B8"/>
    <w:rsid w:val="00A821EA"/>
    <w:rsid w:val="00A8721E"/>
    <w:rsid w:val="00A921DD"/>
    <w:rsid w:val="00A92495"/>
    <w:rsid w:val="00AA439A"/>
    <w:rsid w:val="00AA5899"/>
    <w:rsid w:val="00AA62E3"/>
    <w:rsid w:val="00AB75A3"/>
    <w:rsid w:val="00AB7FC6"/>
    <w:rsid w:val="00AC334D"/>
    <w:rsid w:val="00AC4581"/>
    <w:rsid w:val="00AD115D"/>
    <w:rsid w:val="00AD16AE"/>
    <w:rsid w:val="00AD3624"/>
    <w:rsid w:val="00AD4984"/>
    <w:rsid w:val="00AD6C53"/>
    <w:rsid w:val="00AE5886"/>
    <w:rsid w:val="00AE72F4"/>
    <w:rsid w:val="00AF0A4B"/>
    <w:rsid w:val="00AF65DE"/>
    <w:rsid w:val="00AF7131"/>
    <w:rsid w:val="00AF7415"/>
    <w:rsid w:val="00B03714"/>
    <w:rsid w:val="00B04278"/>
    <w:rsid w:val="00B12672"/>
    <w:rsid w:val="00B14861"/>
    <w:rsid w:val="00B163AD"/>
    <w:rsid w:val="00B16656"/>
    <w:rsid w:val="00B17EEB"/>
    <w:rsid w:val="00B23254"/>
    <w:rsid w:val="00B2434D"/>
    <w:rsid w:val="00B24D29"/>
    <w:rsid w:val="00B34716"/>
    <w:rsid w:val="00B359FB"/>
    <w:rsid w:val="00B42477"/>
    <w:rsid w:val="00B477CA"/>
    <w:rsid w:val="00B5169C"/>
    <w:rsid w:val="00B6030F"/>
    <w:rsid w:val="00B6131E"/>
    <w:rsid w:val="00B61A13"/>
    <w:rsid w:val="00B625B1"/>
    <w:rsid w:val="00B648CA"/>
    <w:rsid w:val="00B677E5"/>
    <w:rsid w:val="00B74894"/>
    <w:rsid w:val="00B77E48"/>
    <w:rsid w:val="00B803B1"/>
    <w:rsid w:val="00B81439"/>
    <w:rsid w:val="00B81CFE"/>
    <w:rsid w:val="00B82B83"/>
    <w:rsid w:val="00B86119"/>
    <w:rsid w:val="00B86DAB"/>
    <w:rsid w:val="00B875F7"/>
    <w:rsid w:val="00B909F7"/>
    <w:rsid w:val="00B94AAD"/>
    <w:rsid w:val="00B95A12"/>
    <w:rsid w:val="00B96A24"/>
    <w:rsid w:val="00BA677D"/>
    <w:rsid w:val="00BA6FDB"/>
    <w:rsid w:val="00BB40CC"/>
    <w:rsid w:val="00BC07D6"/>
    <w:rsid w:val="00BC10A1"/>
    <w:rsid w:val="00BC290B"/>
    <w:rsid w:val="00BC31F9"/>
    <w:rsid w:val="00BC6F83"/>
    <w:rsid w:val="00BC7B60"/>
    <w:rsid w:val="00BD2B71"/>
    <w:rsid w:val="00BD34B4"/>
    <w:rsid w:val="00BD3C51"/>
    <w:rsid w:val="00BD6AA5"/>
    <w:rsid w:val="00BE2C56"/>
    <w:rsid w:val="00BE3D12"/>
    <w:rsid w:val="00BE73BE"/>
    <w:rsid w:val="00BF0E63"/>
    <w:rsid w:val="00BF19DF"/>
    <w:rsid w:val="00BF2C5D"/>
    <w:rsid w:val="00BF31E3"/>
    <w:rsid w:val="00BF321D"/>
    <w:rsid w:val="00C00740"/>
    <w:rsid w:val="00C07731"/>
    <w:rsid w:val="00C12D16"/>
    <w:rsid w:val="00C15A1B"/>
    <w:rsid w:val="00C1657F"/>
    <w:rsid w:val="00C1686B"/>
    <w:rsid w:val="00C218A9"/>
    <w:rsid w:val="00C2432D"/>
    <w:rsid w:val="00C263F4"/>
    <w:rsid w:val="00C34D56"/>
    <w:rsid w:val="00C4691B"/>
    <w:rsid w:val="00C47EE0"/>
    <w:rsid w:val="00C53758"/>
    <w:rsid w:val="00C60992"/>
    <w:rsid w:val="00C60BA7"/>
    <w:rsid w:val="00C63006"/>
    <w:rsid w:val="00C631E3"/>
    <w:rsid w:val="00C645A7"/>
    <w:rsid w:val="00C67568"/>
    <w:rsid w:val="00C71871"/>
    <w:rsid w:val="00C77666"/>
    <w:rsid w:val="00C8290A"/>
    <w:rsid w:val="00C83FE6"/>
    <w:rsid w:val="00C913B6"/>
    <w:rsid w:val="00C94A6B"/>
    <w:rsid w:val="00C97103"/>
    <w:rsid w:val="00CA6EA3"/>
    <w:rsid w:val="00CB15A7"/>
    <w:rsid w:val="00CB15CC"/>
    <w:rsid w:val="00CB1A37"/>
    <w:rsid w:val="00CB1DA8"/>
    <w:rsid w:val="00CB6D97"/>
    <w:rsid w:val="00CD44A8"/>
    <w:rsid w:val="00CD74AC"/>
    <w:rsid w:val="00CE01CF"/>
    <w:rsid w:val="00CE0C9D"/>
    <w:rsid w:val="00CE1E0E"/>
    <w:rsid w:val="00D20AFC"/>
    <w:rsid w:val="00D211FF"/>
    <w:rsid w:val="00D23CDC"/>
    <w:rsid w:val="00D268EB"/>
    <w:rsid w:val="00D26CFF"/>
    <w:rsid w:val="00D274C6"/>
    <w:rsid w:val="00D4354E"/>
    <w:rsid w:val="00D43B0A"/>
    <w:rsid w:val="00D44CA3"/>
    <w:rsid w:val="00D456D8"/>
    <w:rsid w:val="00D45A0E"/>
    <w:rsid w:val="00D45F7B"/>
    <w:rsid w:val="00D4758C"/>
    <w:rsid w:val="00D51B6A"/>
    <w:rsid w:val="00D54B28"/>
    <w:rsid w:val="00D55FAB"/>
    <w:rsid w:val="00D56786"/>
    <w:rsid w:val="00D60F04"/>
    <w:rsid w:val="00D61B7F"/>
    <w:rsid w:val="00D61EAB"/>
    <w:rsid w:val="00D701D3"/>
    <w:rsid w:val="00D71E46"/>
    <w:rsid w:val="00D7445F"/>
    <w:rsid w:val="00D8265D"/>
    <w:rsid w:val="00D90E78"/>
    <w:rsid w:val="00D910ED"/>
    <w:rsid w:val="00D92B1D"/>
    <w:rsid w:val="00D960F4"/>
    <w:rsid w:val="00DB38BF"/>
    <w:rsid w:val="00DB57ED"/>
    <w:rsid w:val="00DC0E31"/>
    <w:rsid w:val="00DC5CBE"/>
    <w:rsid w:val="00DC70D0"/>
    <w:rsid w:val="00DC7DD6"/>
    <w:rsid w:val="00DD4BA0"/>
    <w:rsid w:val="00DE59A7"/>
    <w:rsid w:val="00DE66C5"/>
    <w:rsid w:val="00DF2780"/>
    <w:rsid w:val="00DF54D5"/>
    <w:rsid w:val="00E03556"/>
    <w:rsid w:val="00E13146"/>
    <w:rsid w:val="00E14FE8"/>
    <w:rsid w:val="00E174FC"/>
    <w:rsid w:val="00E20070"/>
    <w:rsid w:val="00E20994"/>
    <w:rsid w:val="00E22124"/>
    <w:rsid w:val="00E24D40"/>
    <w:rsid w:val="00E251EC"/>
    <w:rsid w:val="00E261AD"/>
    <w:rsid w:val="00E272DF"/>
    <w:rsid w:val="00E31097"/>
    <w:rsid w:val="00E31E13"/>
    <w:rsid w:val="00E324C0"/>
    <w:rsid w:val="00E34DD7"/>
    <w:rsid w:val="00E40344"/>
    <w:rsid w:val="00E576BD"/>
    <w:rsid w:val="00E57BE9"/>
    <w:rsid w:val="00E604D6"/>
    <w:rsid w:val="00E65A7F"/>
    <w:rsid w:val="00E67086"/>
    <w:rsid w:val="00E857E4"/>
    <w:rsid w:val="00E85B05"/>
    <w:rsid w:val="00E869F5"/>
    <w:rsid w:val="00E9139D"/>
    <w:rsid w:val="00E92487"/>
    <w:rsid w:val="00E93F9A"/>
    <w:rsid w:val="00E96471"/>
    <w:rsid w:val="00E96706"/>
    <w:rsid w:val="00E973F7"/>
    <w:rsid w:val="00EA217E"/>
    <w:rsid w:val="00EA3B02"/>
    <w:rsid w:val="00EA5A59"/>
    <w:rsid w:val="00EA6976"/>
    <w:rsid w:val="00EA743A"/>
    <w:rsid w:val="00EB0496"/>
    <w:rsid w:val="00EB3301"/>
    <w:rsid w:val="00EB37F9"/>
    <w:rsid w:val="00EB3E87"/>
    <w:rsid w:val="00EB4A75"/>
    <w:rsid w:val="00EB5FBB"/>
    <w:rsid w:val="00EC6929"/>
    <w:rsid w:val="00EC6A0B"/>
    <w:rsid w:val="00ED407A"/>
    <w:rsid w:val="00ED6012"/>
    <w:rsid w:val="00ED6DB9"/>
    <w:rsid w:val="00EE3517"/>
    <w:rsid w:val="00EE4A18"/>
    <w:rsid w:val="00EE5745"/>
    <w:rsid w:val="00EF61D1"/>
    <w:rsid w:val="00EF70F2"/>
    <w:rsid w:val="00F01D63"/>
    <w:rsid w:val="00F12462"/>
    <w:rsid w:val="00F154D0"/>
    <w:rsid w:val="00F17550"/>
    <w:rsid w:val="00F230F7"/>
    <w:rsid w:val="00F24169"/>
    <w:rsid w:val="00F261D6"/>
    <w:rsid w:val="00F319E6"/>
    <w:rsid w:val="00F329F4"/>
    <w:rsid w:val="00F33B94"/>
    <w:rsid w:val="00F35911"/>
    <w:rsid w:val="00F42415"/>
    <w:rsid w:val="00F42D43"/>
    <w:rsid w:val="00F5600A"/>
    <w:rsid w:val="00F57965"/>
    <w:rsid w:val="00F63BEA"/>
    <w:rsid w:val="00F67C2E"/>
    <w:rsid w:val="00F72B1B"/>
    <w:rsid w:val="00F77E12"/>
    <w:rsid w:val="00F814DE"/>
    <w:rsid w:val="00F90045"/>
    <w:rsid w:val="00F925FE"/>
    <w:rsid w:val="00F9270C"/>
    <w:rsid w:val="00F9643F"/>
    <w:rsid w:val="00FA28D1"/>
    <w:rsid w:val="00FA3D8B"/>
    <w:rsid w:val="00FA6558"/>
    <w:rsid w:val="00FA75DB"/>
    <w:rsid w:val="00FB1AAD"/>
    <w:rsid w:val="00FB28F0"/>
    <w:rsid w:val="00FB6ED2"/>
    <w:rsid w:val="00FC0DD9"/>
    <w:rsid w:val="00FC6773"/>
    <w:rsid w:val="00FC7CE8"/>
    <w:rsid w:val="00FD0831"/>
    <w:rsid w:val="00FD489B"/>
    <w:rsid w:val="00FD530D"/>
    <w:rsid w:val="00FE0217"/>
    <w:rsid w:val="00FE4C91"/>
    <w:rsid w:val="00FE6C15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5C2085"/>
  <w15:chartTrackingRefBased/>
  <w15:docId w15:val="{52785EEE-89FA-48DE-B75E-A71D7ED7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5DD"/>
    <w:pPr>
      <w:spacing w:before="60" w:after="120"/>
      <w:jc w:val="both"/>
    </w:pPr>
    <w:rPr>
      <w:rFonts w:eastAsia="Times New Roman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2D59EA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D59EA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aliases w:val="header odd"/>
    <w:basedOn w:val="Normal"/>
    <w:link w:val="HeaderChar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aliases w:val="header odd Char"/>
    <w:link w:val="Header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Doc-text2">
    <w:name w:val="Doc-text2"/>
    <w:basedOn w:val="Normal"/>
    <w:link w:val="Doc-text2Char"/>
    <w:qFormat/>
    <w:rsid w:val="00222813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22813"/>
    <w:rPr>
      <w:rFonts w:ascii="Arial" w:eastAsia="MS Mincho" w:hAnsi="Arial"/>
      <w:szCs w:val="24"/>
      <w:lang w:val="en-GB" w:eastAsia="en-GB"/>
    </w:rPr>
  </w:style>
  <w:style w:type="paragraph" w:customStyle="1" w:styleId="s14">
    <w:name w:val="s14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s31">
    <w:name w:val="s31"/>
    <w:basedOn w:val="DefaultParagraphFont"/>
    <w:rsid w:val="00BC10A1"/>
  </w:style>
  <w:style w:type="character" w:customStyle="1" w:styleId="s38">
    <w:name w:val="s38"/>
    <w:basedOn w:val="DefaultParagraphFont"/>
    <w:rsid w:val="00BC10A1"/>
  </w:style>
  <w:style w:type="character" w:customStyle="1" w:styleId="apple-converted-space">
    <w:name w:val="apple-converted-space"/>
    <w:basedOn w:val="DefaultParagraphFont"/>
    <w:rsid w:val="00BC10A1"/>
  </w:style>
  <w:style w:type="character" w:customStyle="1" w:styleId="s13">
    <w:name w:val="s13"/>
    <w:basedOn w:val="DefaultParagraphFont"/>
    <w:rsid w:val="00BC10A1"/>
  </w:style>
  <w:style w:type="paragraph" w:customStyle="1" w:styleId="s5">
    <w:name w:val="s5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s47">
    <w:name w:val="s47"/>
    <w:basedOn w:val="DefaultParagraphFont"/>
    <w:rsid w:val="00BC10A1"/>
  </w:style>
  <w:style w:type="character" w:customStyle="1" w:styleId="s49">
    <w:name w:val="s49"/>
    <w:basedOn w:val="DefaultParagraphFont"/>
    <w:rsid w:val="00BC10A1"/>
  </w:style>
  <w:style w:type="character" w:customStyle="1" w:styleId="s30">
    <w:name w:val="s30"/>
    <w:basedOn w:val="DefaultParagraphFont"/>
    <w:rsid w:val="00BC10A1"/>
  </w:style>
  <w:style w:type="paragraph" w:customStyle="1" w:styleId="s46">
    <w:name w:val="s46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rsid w:val="002D59EA"/>
    <w:rPr>
      <w:rFonts w:ascii="Arial" w:eastAsia="Times New Roman" w:hAnsi="Arial"/>
    </w:rPr>
  </w:style>
  <w:style w:type="paragraph" w:styleId="ListBullet5">
    <w:name w:val="List Bullet 5"/>
    <w:basedOn w:val="ListBullet4"/>
    <w:rsid w:val="00453805"/>
    <w:pPr>
      <w:numPr>
        <w:numId w:val="16"/>
      </w:numPr>
      <w:tabs>
        <w:tab w:val="clear" w:pos="1644"/>
      </w:tabs>
      <w:overflowPunct w:val="0"/>
      <w:autoSpaceDE w:val="0"/>
      <w:autoSpaceDN w:val="0"/>
      <w:adjustRightInd w:val="0"/>
      <w:spacing w:before="0"/>
      <w:ind w:left="432" w:hanging="432"/>
      <w:contextualSpacing w:val="0"/>
      <w:textAlignment w:val="baseline"/>
    </w:pPr>
    <w:rPr>
      <w:lang w:val="en-GB" w:eastAsia="zh-CN"/>
    </w:rPr>
  </w:style>
  <w:style w:type="paragraph" w:styleId="ListBullet4">
    <w:name w:val="List Bullet 4"/>
    <w:basedOn w:val="Normal"/>
    <w:uiPriority w:val="99"/>
    <w:semiHidden/>
    <w:unhideWhenUsed/>
    <w:rsid w:val="00453805"/>
    <w:pPr>
      <w:tabs>
        <w:tab w:val="num" w:pos="360"/>
      </w:tabs>
      <w:contextualSpacing/>
    </w:pPr>
  </w:style>
  <w:style w:type="table" w:styleId="TableGrid">
    <w:name w:val="Table Grid"/>
    <w:basedOn w:val="TableNormal"/>
    <w:uiPriority w:val="39"/>
    <w:rsid w:val="00096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autoRedefine/>
    <w:uiPriority w:val="39"/>
    <w:rsid w:val="004D58F6"/>
    <w:pPr>
      <w:spacing w:before="0" w:after="0"/>
      <w:ind w:left="960"/>
      <w:jc w:val="left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bullet">
    <w:name w:val="bullet"/>
    <w:basedOn w:val="ListParagraph"/>
    <w:link w:val="bulletChar"/>
    <w:qFormat/>
    <w:rsid w:val="00B16656"/>
    <w:pPr>
      <w:widowControl w:val="0"/>
      <w:numPr>
        <w:numId w:val="25"/>
      </w:numPr>
      <w:spacing w:before="0" w:after="60"/>
    </w:pPr>
    <w:rPr>
      <w:rFonts w:ascii="Times New Roman" w:hAnsi="Times New Roman"/>
      <w:kern w:val="2"/>
      <w:szCs w:val="24"/>
      <w:lang w:val="en-GB"/>
    </w:rPr>
  </w:style>
  <w:style w:type="character" w:customStyle="1" w:styleId="bulletChar">
    <w:name w:val="bullet Char"/>
    <w:link w:val="bullet"/>
    <w:rsid w:val="00B16656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NO">
    <w:name w:val="NO"/>
    <w:basedOn w:val="Normal"/>
    <w:link w:val="NOChar"/>
    <w:rsid w:val="00CE01CF"/>
    <w:pPr>
      <w:keepLines/>
      <w:spacing w:before="0" w:after="180"/>
      <w:ind w:left="1135" w:hanging="851"/>
      <w:jc w:val="left"/>
    </w:pPr>
    <w:rPr>
      <w:rFonts w:ascii="Times New Roman" w:eastAsia="SimSun" w:hAnsi="Times New Roman"/>
      <w:lang w:val="en-GB" w:eastAsia="x-none"/>
    </w:rPr>
  </w:style>
  <w:style w:type="paragraph" w:customStyle="1" w:styleId="TAH">
    <w:name w:val="TAH"/>
    <w:basedOn w:val="Normal"/>
    <w:link w:val="TAHCar"/>
    <w:qFormat/>
    <w:rsid w:val="00CE01CF"/>
    <w:pPr>
      <w:keepNext/>
      <w:keepLines/>
      <w:spacing w:before="0" w:after="0"/>
      <w:jc w:val="center"/>
    </w:pPr>
    <w:rPr>
      <w:rFonts w:ascii="Arial" w:eastAsia="SimSun" w:hAnsi="Arial"/>
      <w:b/>
      <w:sz w:val="18"/>
      <w:lang w:val="en-GB" w:eastAsia="x-none"/>
    </w:rPr>
  </w:style>
  <w:style w:type="paragraph" w:customStyle="1" w:styleId="TH">
    <w:name w:val="TH"/>
    <w:basedOn w:val="Normal"/>
    <w:link w:val="THChar"/>
    <w:rsid w:val="00CE01CF"/>
    <w:pPr>
      <w:keepNext/>
      <w:keepLines/>
      <w:spacing w:after="180"/>
      <w:jc w:val="center"/>
    </w:pPr>
    <w:rPr>
      <w:rFonts w:ascii="Arial" w:eastAsia="SimSun" w:hAnsi="Arial"/>
      <w:b/>
      <w:lang w:val="en-GB" w:eastAsia="x-none"/>
    </w:rPr>
  </w:style>
  <w:style w:type="character" w:customStyle="1" w:styleId="NOChar">
    <w:name w:val="NO Char"/>
    <w:link w:val="NO"/>
    <w:rsid w:val="00CE01CF"/>
    <w:rPr>
      <w:rFonts w:ascii="Times New Roman" w:eastAsia="SimSun" w:hAnsi="Times New Roman"/>
      <w:lang w:val="en-GB" w:eastAsia="x-none"/>
    </w:rPr>
  </w:style>
  <w:style w:type="character" w:customStyle="1" w:styleId="THChar">
    <w:name w:val="TH Char"/>
    <w:link w:val="TH"/>
    <w:rsid w:val="00CE01CF"/>
    <w:rPr>
      <w:rFonts w:ascii="Arial" w:eastAsia="SimSun" w:hAnsi="Arial"/>
      <w:b/>
      <w:lang w:val="en-GB" w:eastAsia="x-none"/>
    </w:rPr>
  </w:style>
  <w:style w:type="character" w:customStyle="1" w:styleId="TALCar">
    <w:name w:val="TAL Car"/>
    <w:link w:val="TAL"/>
    <w:rsid w:val="00CE01CF"/>
    <w:rPr>
      <w:rFonts w:eastAsia="Times New Roman"/>
      <w:sz w:val="18"/>
      <w:lang w:val="en-GB" w:eastAsia="ja-JP"/>
    </w:rPr>
  </w:style>
  <w:style w:type="character" w:customStyle="1" w:styleId="TAHCar">
    <w:name w:val="TAH Car"/>
    <w:link w:val="TAH"/>
    <w:qFormat/>
    <w:rsid w:val="00CE01CF"/>
    <w:rPr>
      <w:rFonts w:ascii="Arial" w:eastAsia="SimSun" w:hAnsi="Arial"/>
      <w:b/>
      <w:sz w:val="18"/>
      <w:lang w:val="en-GB" w:eastAsia="x-none"/>
    </w:rPr>
  </w:style>
  <w:style w:type="paragraph" w:customStyle="1" w:styleId="B1">
    <w:name w:val="B1"/>
    <w:basedOn w:val="List"/>
    <w:link w:val="B1Char"/>
    <w:qFormat/>
    <w:rsid w:val="00ED6DB9"/>
    <w:pPr>
      <w:spacing w:before="0" w:after="180"/>
      <w:ind w:left="568" w:hanging="284"/>
      <w:contextualSpacing w:val="0"/>
      <w:jc w:val="left"/>
    </w:pPr>
    <w:rPr>
      <w:rFonts w:ascii="Times New Roman" w:eastAsia="SimSun" w:hAnsi="Times New Roman"/>
      <w:lang w:val="en-GB" w:eastAsia="x-none"/>
    </w:rPr>
  </w:style>
  <w:style w:type="character" w:customStyle="1" w:styleId="B1Char">
    <w:name w:val="B1 Char"/>
    <w:link w:val="B1"/>
    <w:rsid w:val="00ED6DB9"/>
    <w:rPr>
      <w:rFonts w:ascii="Times New Roman" w:eastAsia="SimSun" w:hAnsi="Times New Roman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ED6DB9"/>
    <w:pPr>
      <w:ind w:left="360" w:hanging="360"/>
      <w:contextualSpacing/>
    </w:pPr>
  </w:style>
  <w:style w:type="paragraph" w:customStyle="1" w:styleId="B2">
    <w:name w:val="B2"/>
    <w:basedOn w:val="List2"/>
    <w:link w:val="B2Char"/>
    <w:rsid w:val="00222CD5"/>
    <w:pPr>
      <w:spacing w:before="0" w:after="180"/>
      <w:ind w:left="851" w:hanging="284"/>
      <w:contextualSpacing w:val="0"/>
      <w:jc w:val="left"/>
    </w:pPr>
    <w:rPr>
      <w:rFonts w:ascii="Times New Roman" w:eastAsia="SimSun" w:hAnsi="Times New Roman"/>
      <w:lang w:val="en-GB" w:eastAsia="x-none"/>
    </w:rPr>
  </w:style>
  <w:style w:type="paragraph" w:customStyle="1" w:styleId="B3">
    <w:name w:val="B3"/>
    <w:basedOn w:val="List3"/>
    <w:rsid w:val="00222CD5"/>
    <w:pPr>
      <w:spacing w:before="0" w:after="180"/>
      <w:ind w:left="1135" w:hanging="284"/>
      <w:contextualSpacing w:val="0"/>
      <w:jc w:val="left"/>
    </w:pPr>
    <w:rPr>
      <w:rFonts w:ascii="Times New Roman" w:eastAsia="SimSun" w:hAnsi="Times New Roman"/>
      <w:lang w:val="en-GB" w:eastAsia="x-none"/>
    </w:rPr>
  </w:style>
  <w:style w:type="character" w:customStyle="1" w:styleId="B2Char">
    <w:name w:val="B2 Char"/>
    <w:link w:val="B2"/>
    <w:rsid w:val="00222CD5"/>
    <w:rPr>
      <w:rFonts w:ascii="Times New Roman" w:eastAsia="SimSun" w:hAnsi="Times New Roman"/>
      <w:lang w:val="en-GB" w:eastAsia="x-none"/>
    </w:rPr>
  </w:style>
  <w:style w:type="paragraph" w:customStyle="1" w:styleId="BL">
    <w:name w:val="BL"/>
    <w:basedOn w:val="Normal"/>
    <w:rsid w:val="00222CD5"/>
    <w:pPr>
      <w:numPr>
        <w:numId w:val="37"/>
      </w:numPr>
      <w:tabs>
        <w:tab w:val="left" w:pos="851"/>
      </w:tabs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SimSun" w:hAnsi="Times New Roman"/>
      <w:lang w:val="en-GB"/>
    </w:rPr>
  </w:style>
  <w:style w:type="paragraph" w:styleId="List3">
    <w:name w:val="List 3"/>
    <w:basedOn w:val="Normal"/>
    <w:uiPriority w:val="99"/>
    <w:semiHidden/>
    <w:unhideWhenUsed/>
    <w:rsid w:val="00222CD5"/>
    <w:pPr>
      <w:ind w:left="1080" w:hanging="360"/>
      <w:contextualSpacing/>
    </w:pPr>
  </w:style>
  <w:style w:type="table" w:styleId="GridTable4-Accent1">
    <w:name w:val="Grid Table 4 Accent 1"/>
    <w:basedOn w:val="TableNormal"/>
    <w:uiPriority w:val="49"/>
    <w:rsid w:val="004F79FA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7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370806">
          <w:marLeft w:val="162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4619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5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4871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70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1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792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891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6858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062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168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61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483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67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14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16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32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888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003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0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2997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814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45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076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5094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257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75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143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1024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C912F-2F7A-4777-9D5C-84B8614F2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874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5845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Novlan</dc:creator>
  <cp:keywords/>
  <dc:description/>
  <cp:lastModifiedBy>Windows User</cp:lastModifiedBy>
  <cp:revision>11</cp:revision>
  <cp:lastPrinted>2016-02-23T15:51:00Z</cp:lastPrinted>
  <dcterms:created xsi:type="dcterms:W3CDTF">2019-03-27T18:05:00Z</dcterms:created>
  <dcterms:modified xsi:type="dcterms:W3CDTF">2019-05-04T01:59:00Z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719478702</vt:i4>
  </property>
</Properties>
</file>